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E6840" w14:textId="39FBEBF5" w:rsidR="007250E1" w:rsidRPr="00255ACF" w:rsidRDefault="003A53C0" w:rsidP="003F6AD1">
      <w:pPr>
        <w:rPr>
          <w:sz w:val="24"/>
          <w:szCs w:val="24"/>
        </w:rPr>
      </w:pPr>
      <w:r w:rsidRPr="00255ACF">
        <w:rPr>
          <w:sz w:val="24"/>
          <w:szCs w:val="24"/>
        </w:rPr>
        <w:t>In 201</w:t>
      </w:r>
      <w:r w:rsidR="003F3026">
        <w:rPr>
          <w:sz w:val="24"/>
          <w:szCs w:val="24"/>
        </w:rPr>
        <w:t>9</w:t>
      </w:r>
      <w:r w:rsidR="00FA2285" w:rsidRPr="00255ACF">
        <w:rPr>
          <w:sz w:val="24"/>
          <w:szCs w:val="24"/>
        </w:rPr>
        <w:t>,</w:t>
      </w:r>
      <w:r w:rsidR="007250E1" w:rsidRPr="00255ACF">
        <w:rPr>
          <w:sz w:val="24"/>
          <w:szCs w:val="24"/>
        </w:rPr>
        <w:t xml:space="preserve"> </w:t>
      </w:r>
      <w:r w:rsidR="00566AF9" w:rsidRPr="00255ACF">
        <w:rPr>
          <w:b/>
          <w:color w:val="C00000"/>
          <w:sz w:val="24"/>
          <w:szCs w:val="24"/>
        </w:rPr>
        <w:t xml:space="preserve">VIRGINIA </w:t>
      </w:r>
      <w:r w:rsidR="004C4360" w:rsidRPr="00255ACF">
        <w:rPr>
          <w:b/>
          <w:color w:val="C00000"/>
          <w:sz w:val="24"/>
          <w:szCs w:val="24"/>
        </w:rPr>
        <w:t>TOURISM INDUSTRY</w:t>
      </w:r>
      <w:r w:rsidR="003F6AD1" w:rsidRPr="00255ACF">
        <w:rPr>
          <w:noProof/>
          <w:sz w:val="24"/>
          <w:szCs w:val="24"/>
        </w:rPr>
        <w:t xml:space="preserve">      </w:t>
      </w:r>
      <w:r w:rsidR="003F6AD1" w:rsidRPr="00255ACF">
        <w:rPr>
          <w:noProof/>
          <w:sz w:val="24"/>
          <w:szCs w:val="24"/>
        </w:rPr>
        <w:tab/>
      </w:r>
      <w:r w:rsidR="003F6AD1" w:rsidRPr="00255ACF">
        <w:rPr>
          <w:noProof/>
          <w:sz w:val="24"/>
          <w:szCs w:val="24"/>
        </w:rPr>
        <w:tab/>
      </w:r>
      <w:r w:rsidR="003F6AD1" w:rsidRPr="00255ACF">
        <w:rPr>
          <w:noProof/>
          <w:sz w:val="24"/>
          <w:szCs w:val="24"/>
        </w:rPr>
        <w:tab/>
      </w:r>
      <w:r w:rsidR="003F6AD1" w:rsidRPr="00255ACF">
        <w:rPr>
          <w:noProof/>
          <w:sz w:val="24"/>
          <w:szCs w:val="24"/>
        </w:rPr>
        <w:tab/>
      </w:r>
      <w:r w:rsidR="003F6AD1" w:rsidRPr="00255ACF">
        <w:rPr>
          <w:noProof/>
          <w:sz w:val="24"/>
          <w:szCs w:val="24"/>
        </w:rPr>
        <w:tab/>
      </w:r>
      <w:r w:rsidR="003F6AD1" w:rsidRPr="00255ACF">
        <w:rPr>
          <w:noProof/>
          <w:sz w:val="24"/>
          <w:szCs w:val="24"/>
        </w:rPr>
        <w:tab/>
      </w:r>
      <w:r w:rsidR="003F6AD1" w:rsidRPr="00255ACF">
        <w:rPr>
          <w:noProof/>
          <w:sz w:val="24"/>
          <w:szCs w:val="24"/>
        </w:rPr>
        <w:tab/>
      </w:r>
    </w:p>
    <w:p w14:paraId="02620C10" w14:textId="2FAB0536" w:rsidR="004C4360" w:rsidRPr="00255ACF" w:rsidRDefault="00F841BD" w:rsidP="004C43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5ACF">
        <w:rPr>
          <w:sz w:val="24"/>
          <w:szCs w:val="24"/>
        </w:rPr>
        <w:t xml:space="preserve">Generated </w:t>
      </w:r>
      <w:r w:rsidRPr="00255ACF">
        <w:rPr>
          <w:b/>
          <w:sz w:val="24"/>
          <w:szCs w:val="24"/>
        </w:rPr>
        <w:t>$2</w:t>
      </w:r>
      <w:r w:rsidR="003F3026">
        <w:rPr>
          <w:b/>
          <w:sz w:val="24"/>
          <w:szCs w:val="24"/>
        </w:rPr>
        <w:t>7</w:t>
      </w:r>
      <w:r w:rsidR="00F9076C" w:rsidRPr="00255ACF">
        <w:rPr>
          <w:b/>
          <w:sz w:val="24"/>
          <w:szCs w:val="24"/>
        </w:rPr>
        <w:t xml:space="preserve"> </w:t>
      </w:r>
      <w:r w:rsidR="004C4360" w:rsidRPr="00255ACF">
        <w:rPr>
          <w:b/>
          <w:sz w:val="24"/>
          <w:szCs w:val="24"/>
        </w:rPr>
        <w:t>billion</w:t>
      </w:r>
      <w:r w:rsidR="004C4360" w:rsidRPr="00255ACF">
        <w:rPr>
          <w:sz w:val="24"/>
          <w:szCs w:val="24"/>
        </w:rPr>
        <w:t xml:space="preserve"> in </w:t>
      </w:r>
      <w:r w:rsidR="006503CE" w:rsidRPr="00255ACF">
        <w:rPr>
          <w:sz w:val="24"/>
          <w:szCs w:val="24"/>
        </w:rPr>
        <w:t xml:space="preserve">domestic </w:t>
      </w:r>
      <w:r w:rsidR="003722E3" w:rsidRPr="00255ACF">
        <w:rPr>
          <w:sz w:val="24"/>
          <w:szCs w:val="24"/>
        </w:rPr>
        <w:t>travel</w:t>
      </w:r>
      <w:r w:rsidR="004C4360" w:rsidRPr="00255ACF">
        <w:rPr>
          <w:sz w:val="24"/>
          <w:szCs w:val="24"/>
        </w:rPr>
        <w:t xml:space="preserve"> spending</w:t>
      </w:r>
      <w:r w:rsidR="003722E3" w:rsidRPr="00255ACF">
        <w:rPr>
          <w:sz w:val="24"/>
          <w:szCs w:val="24"/>
        </w:rPr>
        <w:t xml:space="preserve"> </w:t>
      </w:r>
      <w:r w:rsidR="00F334E3" w:rsidRPr="00255ACF">
        <w:rPr>
          <w:sz w:val="24"/>
          <w:szCs w:val="24"/>
        </w:rPr>
        <w:t xml:space="preserve">across </w:t>
      </w:r>
      <w:r w:rsidR="003722E3" w:rsidRPr="00255ACF">
        <w:rPr>
          <w:sz w:val="24"/>
          <w:szCs w:val="24"/>
        </w:rPr>
        <w:t>communities</w:t>
      </w:r>
      <w:r w:rsidR="004C4360" w:rsidRPr="00255ACF">
        <w:rPr>
          <w:sz w:val="24"/>
          <w:szCs w:val="24"/>
        </w:rPr>
        <w:t>,</w:t>
      </w:r>
    </w:p>
    <w:p w14:paraId="067566C2" w14:textId="73733C13" w:rsidR="004C4360" w:rsidRPr="00255ACF" w:rsidRDefault="00F841BD" w:rsidP="00E57D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5ACF">
        <w:rPr>
          <w:sz w:val="24"/>
          <w:szCs w:val="24"/>
        </w:rPr>
        <w:t xml:space="preserve">Supported </w:t>
      </w:r>
      <w:r w:rsidR="00320916" w:rsidRPr="00255ACF">
        <w:rPr>
          <w:b/>
          <w:sz w:val="24"/>
          <w:szCs w:val="24"/>
        </w:rPr>
        <w:t>23</w:t>
      </w:r>
      <w:r w:rsidR="003F3026">
        <w:rPr>
          <w:b/>
          <w:sz w:val="24"/>
          <w:szCs w:val="24"/>
        </w:rPr>
        <w:t>7</w:t>
      </w:r>
      <w:r w:rsidR="00320916" w:rsidRPr="00255ACF">
        <w:rPr>
          <w:b/>
          <w:sz w:val="24"/>
          <w:szCs w:val="24"/>
        </w:rPr>
        <w:t>,000</w:t>
      </w:r>
      <w:r w:rsidR="003722E3" w:rsidRPr="00255ACF">
        <w:rPr>
          <w:sz w:val="24"/>
          <w:szCs w:val="24"/>
        </w:rPr>
        <w:t xml:space="preserve"> </w:t>
      </w:r>
      <w:r w:rsidR="00D71960">
        <w:rPr>
          <w:sz w:val="24"/>
          <w:szCs w:val="24"/>
        </w:rPr>
        <w:t>jobs</w:t>
      </w:r>
      <w:r w:rsidR="004B72C0" w:rsidRPr="00255ACF">
        <w:rPr>
          <w:sz w:val="24"/>
          <w:szCs w:val="24"/>
        </w:rPr>
        <w:t xml:space="preserve">, </w:t>
      </w:r>
      <w:r w:rsidR="004B72C0" w:rsidRPr="00255ACF">
        <w:rPr>
          <w:b/>
          <w:sz w:val="24"/>
          <w:szCs w:val="24"/>
        </w:rPr>
        <w:t>$6.</w:t>
      </w:r>
      <w:r w:rsidR="003F3026">
        <w:rPr>
          <w:b/>
          <w:sz w:val="24"/>
          <w:szCs w:val="24"/>
        </w:rPr>
        <w:t>4</w:t>
      </w:r>
      <w:r w:rsidR="004B72C0" w:rsidRPr="00255ACF">
        <w:rPr>
          <w:b/>
          <w:sz w:val="24"/>
          <w:szCs w:val="24"/>
        </w:rPr>
        <w:t xml:space="preserve"> billion</w:t>
      </w:r>
      <w:r w:rsidR="004B72C0" w:rsidRPr="00255ACF">
        <w:rPr>
          <w:sz w:val="24"/>
          <w:szCs w:val="24"/>
        </w:rPr>
        <w:t xml:space="preserve"> in </w:t>
      </w:r>
      <w:r w:rsidR="00D71960">
        <w:rPr>
          <w:sz w:val="24"/>
          <w:szCs w:val="24"/>
        </w:rPr>
        <w:t>payroll</w:t>
      </w:r>
      <w:r w:rsidR="00E57DF9" w:rsidRPr="00255ACF">
        <w:rPr>
          <w:sz w:val="24"/>
          <w:szCs w:val="24"/>
        </w:rPr>
        <w:t xml:space="preserve"> and </w:t>
      </w:r>
      <w:r w:rsidR="00F64FEF" w:rsidRPr="00255ACF">
        <w:rPr>
          <w:b/>
          <w:sz w:val="24"/>
          <w:szCs w:val="24"/>
        </w:rPr>
        <w:t>$</w:t>
      </w:r>
      <w:r w:rsidR="0005001D" w:rsidRPr="00255ACF">
        <w:rPr>
          <w:b/>
          <w:sz w:val="24"/>
          <w:szCs w:val="24"/>
        </w:rPr>
        <w:t>1.</w:t>
      </w:r>
      <w:r w:rsidR="003722E3" w:rsidRPr="00255ACF">
        <w:rPr>
          <w:b/>
          <w:sz w:val="24"/>
          <w:szCs w:val="24"/>
        </w:rPr>
        <w:t>8</w:t>
      </w:r>
      <w:r w:rsidR="00320916" w:rsidRPr="00255ACF">
        <w:rPr>
          <w:b/>
          <w:sz w:val="24"/>
          <w:szCs w:val="24"/>
        </w:rPr>
        <w:t xml:space="preserve"> </w:t>
      </w:r>
      <w:r w:rsidR="004C4360" w:rsidRPr="00255ACF">
        <w:rPr>
          <w:b/>
          <w:sz w:val="24"/>
          <w:szCs w:val="24"/>
        </w:rPr>
        <w:t>billion</w:t>
      </w:r>
      <w:r w:rsidR="004C4360" w:rsidRPr="00255ACF">
        <w:rPr>
          <w:sz w:val="24"/>
          <w:szCs w:val="24"/>
        </w:rPr>
        <w:t xml:space="preserve"> state </w:t>
      </w:r>
      <w:r w:rsidR="00E57DF9" w:rsidRPr="00255ACF">
        <w:rPr>
          <w:sz w:val="24"/>
          <w:szCs w:val="24"/>
        </w:rPr>
        <w:t>&amp;</w:t>
      </w:r>
      <w:r w:rsidR="004C4360" w:rsidRPr="00255ACF">
        <w:rPr>
          <w:sz w:val="24"/>
          <w:szCs w:val="24"/>
        </w:rPr>
        <w:t xml:space="preserve"> local taxes for </w:t>
      </w:r>
      <w:r w:rsidR="003722E3" w:rsidRPr="00255ACF">
        <w:rPr>
          <w:sz w:val="24"/>
          <w:szCs w:val="24"/>
        </w:rPr>
        <w:t>the Commonwealth.</w:t>
      </w:r>
    </w:p>
    <w:p w14:paraId="60F3C2A5" w14:textId="041D6DFC" w:rsidR="00CC4331" w:rsidRPr="00576BF6" w:rsidRDefault="00A36E6A" w:rsidP="00576BF6">
      <w:pPr>
        <w:rPr>
          <w:b/>
          <w:color w:val="C00000"/>
          <w:sz w:val="24"/>
          <w:szCs w:val="24"/>
        </w:rPr>
      </w:pPr>
      <w:r w:rsidRPr="00576BF6">
        <w:rPr>
          <w:b/>
          <w:color w:val="C00000"/>
          <w:sz w:val="24"/>
          <w:szCs w:val="24"/>
        </w:rPr>
        <w:t>Tourism Industry continues to grow</w:t>
      </w:r>
      <w:r w:rsidR="004B72C0" w:rsidRPr="00576BF6">
        <w:rPr>
          <w:b/>
          <w:color w:val="C00000"/>
          <w:sz w:val="24"/>
          <w:szCs w:val="24"/>
        </w:rPr>
        <w:t xml:space="preserve"> at </w:t>
      </w:r>
      <w:r w:rsidR="00576BF6">
        <w:rPr>
          <w:b/>
          <w:color w:val="C00000"/>
          <w:sz w:val="24"/>
          <w:szCs w:val="24"/>
        </w:rPr>
        <w:t xml:space="preserve">a </w:t>
      </w:r>
      <w:r w:rsidR="004B72C0" w:rsidRPr="00576BF6">
        <w:rPr>
          <w:b/>
          <w:color w:val="C00000"/>
          <w:sz w:val="24"/>
          <w:szCs w:val="24"/>
        </w:rPr>
        <w:t xml:space="preserve">record level </w:t>
      </w:r>
      <w:r w:rsidR="00B20064">
        <w:rPr>
          <w:b/>
          <w:color w:val="C00000"/>
          <w:sz w:val="24"/>
          <w:szCs w:val="24"/>
        </w:rPr>
        <w:t>ten</w:t>
      </w:r>
      <w:r w:rsidR="00CC4331" w:rsidRPr="00576BF6">
        <w:rPr>
          <w:b/>
          <w:color w:val="C00000"/>
          <w:sz w:val="24"/>
          <w:szCs w:val="24"/>
        </w:rPr>
        <w:t xml:space="preserve"> years in a row</w:t>
      </w:r>
      <w:r w:rsidRPr="00576BF6">
        <w:rPr>
          <w:b/>
          <w:color w:val="C00000"/>
          <w:sz w:val="24"/>
          <w:szCs w:val="24"/>
        </w:rPr>
        <w:t>:</w:t>
      </w:r>
      <w:r w:rsidR="00576BF6" w:rsidRPr="00576BF6">
        <w:rPr>
          <w:b/>
          <w:color w:val="C00000"/>
          <w:sz w:val="24"/>
          <w:szCs w:val="24"/>
        </w:rPr>
        <w:t xml:space="preserve"> </w:t>
      </w:r>
      <w:r w:rsidRPr="00576BF6">
        <w:rPr>
          <w:sz w:val="24"/>
          <w:szCs w:val="24"/>
        </w:rPr>
        <w:t>Travel Expenditures increased</w:t>
      </w:r>
      <w:r w:rsidR="00576BF6">
        <w:rPr>
          <w:sz w:val="24"/>
          <w:szCs w:val="24"/>
        </w:rPr>
        <w:t xml:space="preserve"> every year since 20</w:t>
      </w:r>
      <w:r w:rsidR="00CE306C">
        <w:rPr>
          <w:sz w:val="24"/>
          <w:szCs w:val="24"/>
        </w:rPr>
        <w:t>10</w:t>
      </w:r>
      <w:r w:rsidR="00576BF6">
        <w:rPr>
          <w:sz w:val="24"/>
          <w:szCs w:val="24"/>
        </w:rPr>
        <w:t xml:space="preserve"> with a</w:t>
      </w:r>
      <w:r w:rsidRPr="00576BF6">
        <w:rPr>
          <w:sz w:val="24"/>
          <w:szCs w:val="24"/>
        </w:rPr>
        <w:t xml:space="preserve"> </w:t>
      </w:r>
      <w:r w:rsidRPr="00576BF6">
        <w:rPr>
          <w:b/>
          <w:sz w:val="24"/>
          <w:szCs w:val="24"/>
        </w:rPr>
        <w:t xml:space="preserve">compound annual growth rate of </w:t>
      </w:r>
      <w:r w:rsidR="00E30081">
        <w:rPr>
          <w:b/>
          <w:sz w:val="24"/>
          <w:szCs w:val="24"/>
        </w:rPr>
        <w:t>3.9</w:t>
      </w:r>
      <w:r w:rsidR="00576BF6">
        <w:rPr>
          <w:b/>
          <w:sz w:val="24"/>
          <w:szCs w:val="24"/>
        </w:rPr>
        <w:t>%.</w:t>
      </w:r>
    </w:p>
    <w:p w14:paraId="027F1E2F" w14:textId="309D1A28" w:rsidR="005F7A9B" w:rsidRPr="00255ACF" w:rsidRDefault="00CC4331" w:rsidP="00CC4331">
      <w:pPr>
        <w:pStyle w:val="ListParagraph"/>
        <w:rPr>
          <w:b/>
          <w:bCs/>
          <w:sz w:val="24"/>
          <w:szCs w:val="24"/>
        </w:rPr>
      </w:pPr>
      <w:r w:rsidRPr="00255ACF">
        <w:rPr>
          <w:b/>
          <w:bCs/>
          <w:sz w:val="24"/>
          <w:szCs w:val="24"/>
        </w:rPr>
        <w:t>20</w:t>
      </w:r>
      <w:r w:rsidR="00B20064">
        <w:rPr>
          <w:b/>
          <w:bCs/>
          <w:sz w:val="24"/>
          <w:szCs w:val="24"/>
        </w:rPr>
        <w:t>10</w:t>
      </w:r>
      <w:r w:rsidR="00E57DF9" w:rsidRPr="00255ACF">
        <w:rPr>
          <w:b/>
          <w:bCs/>
          <w:sz w:val="24"/>
          <w:szCs w:val="24"/>
        </w:rPr>
        <w:t>-201</w:t>
      </w:r>
      <w:r w:rsidR="00B20064">
        <w:rPr>
          <w:b/>
          <w:bCs/>
          <w:sz w:val="24"/>
          <w:szCs w:val="24"/>
        </w:rPr>
        <w:t>9</w:t>
      </w:r>
      <w:r w:rsidR="005F7A9B" w:rsidRPr="00255ACF">
        <w:rPr>
          <w:b/>
          <w:bCs/>
          <w:sz w:val="24"/>
          <w:szCs w:val="24"/>
        </w:rPr>
        <w:t xml:space="preserve"> Virginia Domestic Travel Expenditures</w:t>
      </w:r>
      <w:r w:rsidR="006503CE" w:rsidRPr="00255ACF">
        <w:rPr>
          <w:b/>
          <w:bCs/>
          <w:sz w:val="24"/>
          <w:szCs w:val="24"/>
        </w:rPr>
        <w:t xml:space="preserve"> (in Billions)</w:t>
      </w:r>
      <w:r w:rsidRPr="00255ACF">
        <w:rPr>
          <w:b/>
          <w:bCs/>
          <w:sz w:val="24"/>
          <w:szCs w:val="24"/>
        </w:rPr>
        <w:t>:</w:t>
      </w:r>
    </w:p>
    <w:p w14:paraId="61B5AAFE" w14:textId="77777777" w:rsidR="00A36E6A" w:rsidRDefault="00CC4331" w:rsidP="00255ACF">
      <w:pPr>
        <w:pStyle w:val="ListParagraph"/>
        <w:rPr>
          <w:b/>
          <w:bCs/>
        </w:rPr>
      </w:pPr>
      <w:r>
        <w:rPr>
          <w:noProof/>
        </w:rPr>
        <w:drawing>
          <wp:inline distT="0" distB="0" distL="0" distR="0" wp14:anchorId="0D473A1B" wp14:editId="196212E9">
            <wp:extent cx="5372100" cy="23145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6DBBC7" w14:textId="77777777" w:rsidR="00255ACF" w:rsidRPr="00255ACF" w:rsidRDefault="00255ACF" w:rsidP="00255ACF">
      <w:pPr>
        <w:pStyle w:val="ListParagraph"/>
        <w:rPr>
          <w:b/>
          <w:bCs/>
        </w:rPr>
      </w:pPr>
    </w:p>
    <w:p w14:paraId="39C9822E" w14:textId="0CF5F075" w:rsidR="00CB519A" w:rsidRPr="006437EC" w:rsidRDefault="004C4360" w:rsidP="00255ACF">
      <w:pPr>
        <w:pStyle w:val="ListParagraph"/>
        <w:numPr>
          <w:ilvl w:val="0"/>
          <w:numId w:val="12"/>
        </w:numPr>
        <w:rPr>
          <w:b/>
          <w:sz w:val="24"/>
        </w:rPr>
      </w:pPr>
      <w:r w:rsidRPr="006437EC">
        <w:rPr>
          <w:b/>
          <w:sz w:val="24"/>
        </w:rPr>
        <w:t>201</w:t>
      </w:r>
      <w:r w:rsidR="00CE306C">
        <w:rPr>
          <w:b/>
          <w:sz w:val="24"/>
        </w:rPr>
        <w:t>9</w:t>
      </w:r>
      <w:r w:rsidR="00C31465" w:rsidRPr="006437EC">
        <w:rPr>
          <w:b/>
          <w:sz w:val="24"/>
        </w:rPr>
        <w:t xml:space="preserve"> Virginia Domesti</w:t>
      </w:r>
      <w:r w:rsidR="00B92A76" w:rsidRPr="006437EC">
        <w:rPr>
          <w:b/>
          <w:sz w:val="24"/>
        </w:rPr>
        <w:t>c Travel Expenditures by Sector</w:t>
      </w:r>
      <w:r w:rsidR="00255ACF" w:rsidRPr="006437EC">
        <w:rPr>
          <w:b/>
          <w:sz w:val="24"/>
        </w:rPr>
        <w:t>:</w:t>
      </w:r>
    </w:p>
    <w:p w14:paraId="02940418" w14:textId="77777777" w:rsidR="004C4360" w:rsidRPr="00CB519A" w:rsidRDefault="00255ACF" w:rsidP="00255ACF">
      <w:pPr>
        <w:pStyle w:val="ListParagraph"/>
      </w:pPr>
      <w:r w:rsidRPr="00255ACF">
        <w:rPr>
          <w:b/>
          <w:noProof/>
        </w:rPr>
        <w:drawing>
          <wp:inline distT="0" distB="0" distL="0" distR="0" wp14:anchorId="33C48086" wp14:editId="1E0E4B1B">
            <wp:extent cx="5486400" cy="360426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70426B" w14:textId="110EAFF3" w:rsidR="00CE306C" w:rsidRDefault="00CE306C" w:rsidP="00CE306C">
      <w:pPr>
        <w:tabs>
          <w:tab w:val="left" w:pos="1920"/>
        </w:tabs>
        <w:rPr>
          <w:rFonts w:cs="Times-Roman"/>
          <w:b/>
          <w:color w:val="C00000"/>
          <w:sz w:val="24"/>
          <w:szCs w:val="24"/>
        </w:rPr>
      </w:pPr>
      <w:r>
        <w:rPr>
          <w:rFonts w:cs="Times-Roman"/>
          <w:b/>
          <w:color w:val="C00000"/>
          <w:sz w:val="24"/>
          <w:szCs w:val="24"/>
        </w:rPr>
        <w:tab/>
      </w:r>
    </w:p>
    <w:p w14:paraId="036DB6FB" w14:textId="434434F8" w:rsidR="006503CE" w:rsidRPr="00D57BFE" w:rsidRDefault="00953E72" w:rsidP="00CB519A">
      <w:pPr>
        <w:tabs>
          <w:tab w:val="center" w:pos="5400"/>
        </w:tabs>
        <w:rPr>
          <w:rFonts w:cs="Times-Roman"/>
          <w:b/>
          <w:color w:val="C00000"/>
          <w:sz w:val="24"/>
          <w:szCs w:val="24"/>
        </w:rPr>
      </w:pPr>
      <w:r w:rsidRPr="00CE306C">
        <w:rPr>
          <w:rFonts w:cs="Times-Roman"/>
          <w:sz w:val="24"/>
          <w:szCs w:val="24"/>
        </w:rPr>
        <w:br w:type="page"/>
      </w:r>
      <w:r w:rsidR="005625F6">
        <w:rPr>
          <w:rFonts w:cs="Times-Roman"/>
          <w:b/>
          <w:color w:val="C00000"/>
          <w:sz w:val="24"/>
          <w:szCs w:val="24"/>
        </w:rPr>
        <w:lastRenderedPageBreak/>
        <w:t>201</w:t>
      </w:r>
      <w:r w:rsidR="00E30081">
        <w:rPr>
          <w:rFonts w:cs="Times-Roman"/>
          <w:b/>
          <w:color w:val="C00000"/>
          <w:sz w:val="24"/>
          <w:szCs w:val="24"/>
        </w:rPr>
        <w:t>9</w:t>
      </w:r>
      <w:r w:rsidR="002264FA" w:rsidRPr="00D57BFE">
        <w:rPr>
          <w:rFonts w:cs="Times-Roman"/>
          <w:b/>
          <w:color w:val="C00000"/>
          <w:sz w:val="24"/>
          <w:szCs w:val="24"/>
        </w:rPr>
        <w:t xml:space="preserve"> </w:t>
      </w:r>
      <w:r w:rsidR="006503CE" w:rsidRPr="00D57BFE">
        <w:rPr>
          <w:rFonts w:cs="Times-Roman"/>
          <w:b/>
          <w:color w:val="C00000"/>
          <w:sz w:val="24"/>
          <w:szCs w:val="24"/>
        </w:rPr>
        <w:t xml:space="preserve">DOMESTIC TRAVEL INDUSTRY </w:t>
      </w:r>
      <w:r w:rsidR="002264FA" w:rsidRPr="00D57BFE">
        <w:rPr>
          <w:rFonts w:cs="Times-Roman"/>
          <w:b/>
          <w:color w:val="C00000"/>
          <w:sz w:val="24"/>
          <w:szCs w:val="24"/>
        </w:rPr>
        <w:t>in VIRGINIA</w:t>
      </w:r>
      <w:r w:rsidR="006503CE" w:rsidRPr="00D57BFE">
        <w:rPr>
          <w:rFonts w:cs="Times-Roman"/>
          <w:b/>
          <w:color w:val="C00000"/>
          <w:sz w:val="24"/>
          <w:szCs w:val="24"/>
        </w:rPr>
        <w:t>:</w:t>
      </w:r>
    </w:p>
    <w:p w14:paraId="23117FBF" w14:textId="77777777" w:rsidR="006503CE" w:rsidRPr="00D57BFE" w:rsidRDefault="006503CE" w:rsidP="00F424F7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15E9492" w14:textId="513C3FB9" w:rsidR="007D4A33" w:rsidRPr="002E4151" w:rsidRDefault="007D4A33" w:rsidP="007D4A33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="Calibri"/>
        </w:rPr>
      </w:pPr>
      <w:r w:rsidRPr="002E4151">
        <w:rPr>
          <w:rFonts w:cs="Calibri"/>
          <w:color w:val="000000"/>
        </w:rPr>
        <w:t xml:space="preserve">Travelers spent </w:t>
      </w:r>
      <w:r w:rsidRPr="002E4151">
        <w:rPr>
          <w:rFonts w:cs="Calibri"/>
          <w:b/>
          <w:color w:val="000000"/>
        </w:rPr>
        <w:t>$</w:t>
      </w:r>
      <w:r w:rsidR="004C21E0" w:rsidRPr="002E4151">
        <w:rPr>
          <w:rFonts w:cs="Calibri"/>
          <w:b/>
          <w:color w:val="000000"/>
        </w:rPr>
        <w:t>7</w:t>
      </w:r>
      <w:r w:rsidR="002E4151" w:rsidRPr="002E4151">
        <w:rPr>
          <w:rFonts w:cs="Calibri"/>
          <w:b/>
          <w:color w:val="000000"/>
        </w:rPr>
        <w:t>3</w:t>
      </w:r>
      <w:r w:rsidRPr="002E4151">
        <w:rPr>
          <w:rFonts w:cs="Calibri"/>
          <w:b/>
          <w:color w:val="000000"/>
        </w:rPr>
        <w:t xml:space="preserve"> million a day</w:t>
      </w:r>
      <w:r w:rsidRPr="002E4151">
        <w:rPr>
          <w:rFonts w:cs="Calibri"/>
          <w:color w:val="000000"/>
        </w:rPr>
        <w:t xml:space="preserve"> in Virginia in 201</w:t>
      </w:r>
      <w:r w:rsidR="002E4151" w:rsidRPr="002E4151">
        <w:rPr>
          <w:rFonts w:cs="Calibri"/>
          <w:color w:val="000000"/>
        </w:rPr>
        <w:t>9</w:t>
      </w:r>
      <w:r w:rsidRPr="002E4151">
        <w:rPr>
          <w:rFonts w:cs="Calibri"/>
          <w:color w:val="000000"/>
        </w:rPr>
        <w:t xml:space="preserve">.  According to the U.S. Travel Association, domestic traveler spending </w:t>
      </w:r>
      <w:r w:rsidRPr="002E4151">
        <w:rPr>
          <w:rFonts w:cs="Calibri"/>
        </w:rPr>
        <w:t xml:space="preserve">in Virginia reached </w:t>
      </w:r>
      <w:r w:rsidRPr="002E4151">
        <w:rPr>
          <w:rFonts w:cs="Calibri"/>
          <w:b/>
          <w:bCs/>
        </w:rPr>
        <w:t>$2</w:t>
      </w:r>
      <w:r w:rsidR="002E4151" w:rsidRPr="002E4151">
        <w:rPr>
          <w:rFonts w:cs="Calibri"/>
          <w:b/>
          <w:bCs/>
        </w:rPr>
        <w:t>7</w:t>
      </w:r>
      <w:r w:rsidRPr="002E4151">
        <w:rPr>
          <w:rFonts w:cs="Calibri"/>
          <w:b/>
          <w:bCs/>
        </w:rPr>
        <w:t xml:space="preserve"> billion </w:t>
      </w:r>
      <w:r w:rsidRPr="002E4151">
        <w:rPr>
          <w:rFonts w:cs="Calibri"/>
          <w:bCs/>
        </w:rPr>
        <w:t xml:space="preserve">up </w:t>
      </w:r>
      <w:r w:rsidR="002E4151" w:rsidRPr="002E4151">
        <w:rPr>
          <w:rFonts w:cs="Calibri"/>
          <w:bCs/>
        </w:rPr>
        <w:t>3</w:t>
      </w:r>
      <w:r w:rsidRPr="002E4151">
        <w:rPr>
          <w:rFonts w:cs="Calibri"/>
          <w:bCs/>
        </w:rPr>
        <w:t>.4% compared to 201</w:t>
      </w:r>
      <w:r w:rsidR="002E4151" w:rsidRPr="002E4151">
        <w:rPr>
          <w:rFonts w:cs="Calibri"/>
          <w:bCs/>
        </w:rPr>
        <w:t>8</w:t>
      </w:r>
      <w:r w:rsidRPr="002E4151">
        <w:rPr>
          <w:rFonts w:cs="Calibri"/>
          <w:color w:val="000000"/>
        </w:rPr>
        <w:t xml:space="preserve">.  </w:t>
      </w:r>
      <w:r w:rsidRPr="002E4151">
        <w:rPr>
          <w:rFonts w:cs="Calibri"/>
        </w:rPr>
        <w:t xml:space="preserve">The travel industry in the Commonwealth </w:t>
      </w:r>
      <w:r w:rsidR="00270ECC" w:rsidRPr="002E4151">
        <w:rPr>
          <w:rFonts w:cs="Calibri"/>
          <w:b/>
        </w:rPr>
        <w:t>h</w:t>
      </w:r>
      <w:r w:rsidRPr="002E4151">
        <w:rPr>
          <w:rFonts w:cs="Calibri"/>
          <w:b/>
        </w:rPr>
        <w:t xml:space="preserve">as continued to grow </w:t>
      </w:r>
      <w:r w:rsidR="002E4151" w:rsidRPr="002E4151">
        <w:rPr>
          <w:rFonts w:cs="Calibri"/>
          <w:b/>
        </w:rPr>
        <w:t>ten</w:t>
      </w:r>
      <w:r w:rsidRPr="002E4151">
        <w:rPr>
          <w:rFonts w:cs="Calibri"/>
          <w:b/>
        </w:rPr>
        <w:t xml:space="preserve"> years in a row</w:t>
      </w:r>
      <w:r w:rsidRPr="002E4151">
        <w:rPr>
          <w:rFonts w:cs="Calibri"/>
        </w:rPr>
        <w:t xml:space="preserve"> </w:t>
      </w:r>
      <w:r w:rsidR="006D17D0" w:rsidRPr="002E4151">
        <w:rPr>
          <w:rFonts w:cs="Calibri"/>
        </w:rPr>
        <w:t>with</w:t>
      </w:r>
      <w:r w:rsidRPr="002E4151">
        <w:rPr>
          <w:rFonts w:cs="Calibri"/>
          <w:b/>
        </w:rPr>
        <w:t xml:space="preserve"> a compound annual growth rate of </w:t>
      </w:r>
      <w:r w:rsidR="002E4151" w:rsidRPr="002E4151">
        <w:rPr>
          <w:rFonts w:cs="Calibri"/>
          <w:b/>
        </w:rPr>
        <w:t>3.9</w:t>
      </w:r>
      <w:r w:rsidRPr="002E4151">
        <w:rPr>
          <w:rFonts w:cs="Calibri"/>
          <w:b/>
        </w:rPr>
        <w:t xml:space="preserve">% since </w:t>
      </w:r>
      <w:r w:rsidR="006D17D0" w:rsidRPr="002E4151">
        <w:rPr>
          <w:rFonts w:cs="Calibri"/>
          <w:b/>
        </w:rPr>
        <w:t>20</w:t>
      </w:r>
      <w:r w:rsidR="002E4151" w:rsidRPr="002E4151">
        <w:rPr>
          <w:rFonts w:cs="Calibri"/>
          <w:b/>
        </w:rPr>
        <w:t>10</w:t>
      </w:r>
      <w:r w:rsidRPr="002E4151">
        <w:rPr>
          <w:rFonts w:cs="Calibri"/>
        </w:rPr>
        <w:t xml:space="preserve">.  </w:t>
      </w:r>
    </w:p>
    <w:p w14:paraId="5FDD3711" w14:textId="77777777" w:rsidR="003722E3" w:rsidRPr="00E30081" w:rsidRDefault="003722E3" w:rsidP="0073270F">
      <w:pPr>
        <w:spacing w:after="0"/>
        <w:rPr>
          <w:rFonts w:cs="Calibri"/>
          <w:highlight w:val="yellow"/>
        </w:rPr>
      </w:pPr>
    </w:p>
    <w:p w14:paraId="50B5A3C3" w14:textId="77777777" w:rsidR="007057E2" w:rsidRPr="00A36E6A" w:rsidRDefault="007057E2" w:rsidP="007057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A36E6A">
        <w:rPr>
          <w:rFonts w:cs="Calibri"/>
          <w:color w:val="000000"/>
        </w:rPr>
        <w:t xml:space="preserve">The travel industry is the </w:t>
      </w:r>
      <w:r>
        <w:rPr>
          <w:rFonts w:cs="Calibri"/>
          <w:b/>
          <w:color w:val="000000"/>
        </w:rPr>
        <w:t>six</w:t>
      </w:r>
      <w:r w:rsidRPr="00A36E6A">
        <w:rPr>
          <w:rFonts w:cs="Calibri"/>
          <w:b/>
          <w:color w:val="000000"/>
        </w:rPr>
        <w:t>th largest private employer in Virginia accounting for 7</w:t>
      </w:r>
      <w:bookmarkStart w:id="0" w:name="_GoBack"/>
      <w:bookmarkEnd w:id="0"/>
      <w:r w:rsidRPr="00A36E6A">
        <w:rPr>
          <w:rFonts w:cs="Calibri"/>
          <w:b/>
          <w:color w:val="000000"/>
        </w:rPr>
        <w:t>% of employment.</w:t>
      </w:r>
    </w:p>
    <w:p w14:paraId="7A916720" w14:textId="77777777" w:rsidR="007057E2" w:rsidRDefault="007057E2" w:rsidP="007057E2">
      <w:pPr>
        <w:spacing w:after="0"/>
        <w:rPr>
          <w:rFonts w:cs="Calibri"/>
        </w:rPr>
      </w:pPr>
    </w:p>
    <w:p w14:paraId="44966E5A" w14:textId="06AB7418" w:rsidR="007D4A33" w:rsidRPr="00F245A1" w:rsidRDefault="007D4A33" w:rsidP="007D4A33">
      <w:pPr>
        <w:numPr>
          <w:ilvl w:val="0"/>
          <w:numId w:val="3"/>
        </w:numPr>
        <w:spacing w:after="0"/>
        <w:rPr>
          <w:rFonts w:cs="Calibri"/>
        </w:rPr>
      </w:pPr>
      <w:r w:rsidRPr="00F245A1">
        <w:rPr>
          <w:rFonts w:cs="Calibri"/>
        </w:rPr>
        <w:t xml:space="preserve">On average, every </w:t>
      </w:r>
      <w:r w:rsidRPr="00F245A1">
        <w:rPr>
          <w:rFonts w:cs="Calibri"/>
          <w:b/>
        </w:rPr>
        <w:t>$</w:t>
      </w:r>
      <w:r w:rsidR="002E4151" w:rsidRPr="00F245A1">
        <w:rPr>
          <w:rFonts w:cs="Calibri"/>
          <w:b/>
        </w:rPr>
        <w:t>112</w:t>
      </w:r>
      <w:r w:rsidR="00270ECC" w:rsidRPr="00F245A1">
        <w:rPr>
          <w:rFonts w:cs="Calibri"/>
          <w:b/>
        </w:rPr>
        <w:t>,</w:t>
      </w:r>
      <w:r w:rsidR="002E4151" w:rsidRPr="00F245A1">
        <w:rPr>
          <w:rFonts w:cs="Calibri"/>
          <w:b/>
        </w:rPr>
        <w:t>920</w:t>
      </w:r>
      <w:r w:rsidRPr="00F245A1">
        <w:rPr>
          <w:rFonts w:cs="Calibri"/>
          <w:b/>
        </w:rPr>
        <w:t xml:space="preserve"> spent</w:t>
      </w:r>
      <w:r w:rsidRPr="00F245A1">
        <w:rPr>
          <w:rFonts w:cs="Calibri"/>
        </w:rPr>
        <w:t xml:space="preserve"> by domestic travelers in Virginia during 201</w:t>
      </w:r>
      <w:r w:rsidR="002E4151" w:rsidRPr="00F245A1">
        <w:rPr>
          <w:rFonts w:cs="Calibri"/>
        </w:rPr>
        <w:t>9</w:t>
      </w:r>
      <w:r w:rsidRPr="00F245A1">
        <w:rPr>
          <w:rFonts w:cs="Calibri"/>
        </w:rPr>
        <w:t xml:space="preserve"> supported </w:t>
      </w:r>
      <w:r w:rsidRPr="00F245A1">
        <w:rPr>
          <w:rFonts w:cs="Calibri"/>
          <w:b/>
        </w:rPr>
        <w:t>one job</w:t>
      </w:r>
      <w:r w:rsidRPr="00F245A1">
        <w:rPr>
          <w:rFonts w:cs="Calibri"/>
        </w:rPr>
        <w:t>.</w:t>
      </w:r>
    </w:p>
    <w:p w14:paraId="5A14511B" w14:textId="77777777" w:rsidR="007D4A33" w:rsidRPr="00F245A1" w:rsidRDefault="007D4A33" w:rsidP="007D4A33">
      <w:pPr>
        <w:pStyle w:val="ListParagraph"/>
        <w:rPr>
          <w:rFonts w:cs="Calibri"/>
          <w:color w:val="000000"/>
        </w:rPr>
      </w:pPr>
    </w:p>
    <w:p w14:paraId="58784D8D" w14:textId="10A1BA07" w:rsidR="007D4A33" w:rsidRPr="00F245A1" w:rsidRDefault="007D4A33" w:rsidP="007D4A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F245A1">
        <w:rPr>
          <w:rFonts w:cs="Calibri"/>
          <w:color w:val="000000"/>
        </w:rPr>
        <w:t xml:space="preserve">The domestic travel industry supported employees earning </w:t>
      </w:r>
      <w:r w:rsidRPr="00F245A1">
        <w:rPr>
          <w:rFonts w:cs="Calibri"/>
          <w:b/>
          <w:color w:val="000000"/>
        </w:rPr>
        <w:t>$</w:t>
      </w:r>
      <w:r w:rsidR="00270ECC" w:rsidRPr="00F245A1">
        <w:rPr>
          <w:rFonts w:cs="Calibri"/>
          <w:b/>
          <w:color w:val="000000"/>
        </w:rPr>
        <w:t>6</w:t>
      </w:r>
      <w:r w:rsidRPr="00F245A1">
        <w:rPr>
          <w:rFonts w:cs="Calibri"/>
          <w:b/>
          <w:color w:val="000000"/>
        </w:rPr>
        <w:t>.</w:t>
      </w:r>
      <w:r w:rsidR="002E4151" w:rsidRPr="00F245A1">
        <w:rPr>
          <w:rFonts w:cs="Calibri"/>
          <w:b/>
          <w:color w:val="000000"/>
        </w:rPr>
        <w:t xml:space="preserve">4 </w:t>
      </w:r>
      <w:r w:rsidRPr="00F245A1">
        <w:rPr>
          <w:rFonts w:cs="Calibri"/>
          <w:b/>
          <w:color w:val="000000"/>
        </w:rPr>
        <w:t>billion in Payroll Income</w:t>
      </w:r>
      <w:r w:rsidRPr="00F245A1">
        <w:rPr>
          <w:rFonts w:cs="Calibri"/>
          <w:color w:val="000000"/>
        </w:rPr>
        <w:t xml:space="preserve"> –an increase by </w:t>
      </w:r>
      <w:r w:rsidR="002E4151" w:rsidRPr="00F245A1">
        <w:rPr>
          <w:rFonts w:cs="Calibri"/>
          <w:color w:val="000000"/>
        </w:rPr>
        <w:t>5.0</w:t>
      </w:r>
      <w:r w:rsidRPr="00F245A1">
        <w:rPr>
          <w:rFonts w:cs="Calibri"/>
          <w:color w:val="000000"/>
        </w:rPr>
        <w:t>% compared to 201</w:t>
      </w:r>
      <w:r w:rsidR="002E4151" w:rsidRPr="00F245A1">
        <w:rPr>
          <w:rFonts w:cs="Calibri"/>
          <w:color w:val="000000"/>
        </w:rPr>
        <w:t>8</w:t>
      </w:r>
      <w:r w:rsidRPr="00F245A1">
        <w:rPr>
          <w:rFonts w:cs="Calibri"/>
          <w:color w:val="000000"/>
        </w:rPr>
        <w:t xml:space="preserve">. </w:t>
      </w:r>
    </w:p>
    <w:p w14:paraId="1A4404C6" w14:textId="77777777" w:rsidR="007D4A33" w:rsidRPr="00F245A1" w:rsidRDefault="007D4A33" w:rsidP="007D4A33">
      <w:pPr>
        <w:pStyle w:val="ListParagraph"/>
        <w:rPr>
          <w:rFonts w:cs="Calibri"/>
          <w:color w:val="000000"/>
        </w:rPr>
      </w:pPr>
    </w:p>
    <w:p w14:paraId="3E77DEA5" w14:textId="07FC31EF" w:rsidR="007D4A33" w:rsidRPr="00F245A1" w:rsidRDefault="007D4A33" w:rsidP="007D4A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F245A1">
        <w:rPr>
          <w:rFonts w:cs="Calibri"/>
          <w:color w:val="000000"/>
        </w:rPr>
        <w:t>The 2</w:t>
      </w:r>
      <w:r w:rsidR="002E4151" w:rsidRPr="00F245A1">
        <w:rPr>
          <w:rFonts w:cs="Calibri"/>
          <w:color w:val="000000"/>
        </w:rPr>
        <w:t>37</w:t>
      </w:r>
      <w:r w:rsidRPr="00F245A1">
        <w:rPr>
          <w:rFonts w:cs="Calibri"/>
          <w:color w:val="000000"/>
        </w:rPr>
        <w:t xml:space="preserve">,000 jobs supported by domestic travel in Virginia increased by </w:t>
      </w:r>
      <w:r w:rsidR="002E4151" w:rsidRPr="00F245A1">
        <w:rPr>
          <w:rFonts w:cs="Calibri"/>
          <w:color w:val="000000"/>
        </w:rPr>
        <w:t>0.9</w:t>
      </w:r>
      <w:r w:rsidRPr="00F245A1">
        <w:rPr>
          <w:rFonts w:cs="Calibri"/>
          <w:color w:val="000000"/>
        </w:rPr>
        <w:t>% compared to 201</w:t>
      </w:r>
      <w:r w:rsidR="002E4151" w:rsidRPr="00F245A1">
        <w:rPr>
          <w:rFonts w:cs="Calibri"/>
          <w:color w:val="000000"/>
        </w:rPr>
        <w:t>8</w:t>
      </w:r>
      <w:r w:rsidRPr="00F245A1">
        <w:rPr>
          <w:rFonts w:cs="Calibri"/>
          <w:color w:val="000000"/>
        </w:rPr>
        <w:t xml:space="preserve"> - </w:t>
      </w:r>
      <w:r w:rsidRPr="00F245A1">
        <w:rPr>
          <w:rFonts w:cs="Calibri"/>
          <w:b/>
          <w:color w:val="000000"/>
        </w:rPr>
        <w:t xml:space="preserve">an increase of </w:t>
      </w:r>
      <w:r w:rsidR="00270ECC" w:rsidRPr="00F245A1">
        <w:rPr>
          <w:rFonts w:cs="Calibri"/>
          <w:b/>
          <w:color w:val="000000"/>
        </w:rPr>
        <w:t>2</w:t>
      </w:r>
      <w:r w:rsidRPr="00F245A1">
        <w:rPr>
          <w:rFonts w:cs="Calibri"/>
          <w:b/>
          <w:color w:val="000000"/>
        </w:rPr>
        <w:t>,</w:t>
      </w:r>
      <w:r w:rsidR="002E4151" w:rsidRPr="00F245A1">
        <w:rPr>
          <w:rFonts w:cs="Calibri"/>
          <w:b/>
          <w:color w:val="000000"/>
        </w:rPr>
        <w:t>145</w:t>
      </w:r>
      <w:r w:rsidRPr="00F245A1">
        <w:rPr>
          <w:rFonts w:cs="Calibri"/>
          <w:b/>
          <w:color w:val="000000"/>
        </w:rPr>
        <w:t xml:space="preserve"> Jobs</w:t>
      </w:r>
      <w:r w:rsidRPr="00F245A1">
        <w:rPr>
          <w:rFonts w:cs="Calibri"/>
          <w:color w:val="000000"/>
        </w:rPr>
        <w:t xml:space="preserve">.  </w:t>
      </w:r>
    </w:p>
    <w:p w14:paraId="17A53B0F" w14:textId="77777777" w:rsidR="007D4A33" w:rsidRPr="00F245A1" w:rsidRDefault="007D4A33" w:rsidP="007D4A33">
      <w:pPr>
        <w:pStyle w:val="ListParagraph"/>
        <w:rPr>
          <w:rFonts w:cs="Calibri"/>
          <w:color w:val="000000"/>
        </w:rPr>
      </w:pPr>
    </w:p>
    <w:p w14:paraId="38D75D21" w14:textId="5C359D31" w:rsidR="007D4A33" w:rsidRPr="00F245A1" w:rsidRDefault="007D4A33" w:rsidP="007D4A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F245A1">
        <w:rPr>
          <w:rFonts w:cs="Calibri"/>
          <w:color w:val="000000"/>
        </w:rPr>
        <w:t xml:space="preserve">The domestic travel industry generated </w:t>
      </w:r>
      <w:r w:rsidRPr="00F245A1">
        <w:rPr>
          <w:rFonts w:cs="Calibri"/>
        </w:rPr>
        <w:t>$3.</w:t>
      </w:r>
      <w:r w:rsidR="002E4151" w:rsidRPr="00F245A1">
        <w:rPr>
          <w:rFonts w:cs="Calibri"/>
        </w:rPr>
        <w:t>6</w:t>
      </w:r>
      <w:r w:rsidRPr="00F245A1">
        <w:rPr>
          <w:rFonts w:cs="Calibri"/>
        </w:rPr>
        <w:t xml:space="preserve"> billion in tax revenue for federal, state and local governments in 201</w:t>
      </w:r>
      <w:r w:rsidR="00270ECC" w:rsidRPr="00F245A1">
        <w:rPr>
          <w:rFonts w:cs="Calibri"/>
        </w:rPr>
        <w:t>8</w:t>
      </w:r>
      <w:r w:rsidRPr="00F245A1">
        <w:rPr>
          <w:rFonts w:cs="Calibri"/>
        </w:rPr>
        <w:t xml:space="preserve">, up </w:t>
      </w:r>
      <w:r w:rsidR="002E4151" w:rsidRPr="00F245A1">
        <w:rPr>
          <w:rFonts w:cs="Calibri"/>
        </w:rPr>
        <w:t>4.5</w:t>
      </w:r>
      <w:r w:rsidRPr="00F245A1">
        <w:rPr>
          <w:rFonts w:cs="Calibri"/>
        </w:rPr>
        <w:t xml:space="preserve"> percent from 201</w:t>
      </w:r>
      <w:r w:rsidR="002E4151" w:rsidRPr="00F245A1">
        <w:rPr>
          <w:rFonts w:cs="Calibri"/>
        </w:rPr>
        <w:t>8</w:t>
      </w:r>
      <w:r w:rsidRPr="00F245A1">
        <w:rPr>
          <w:rFonts w:cs="Calibri"/>
        </w:rPr>
        <w:t xml:space="preserve">; </w:t>
      </w:r>
      <w:r w:rsidRPr="00F245A1">
        <w:rPr>
          <w:rFonts w:cs="Calibri"/>
          <w:b/>
          <w:color w:val="000000"/>
        </w:rPr>
        <w:t>$1.</w:t>
      </w:r>
      <w:r w:rsidR="00270ECC" w:rsidRPr="00F245A1">
        <w:rPr>
          <w:rFonts w:cs="Calibri"/>
          <w:b/>
          <w:color w:val="000000"/>
        </w:rPr>
        <w:t>8</w:t>
      </w:r>
      <w:r w:rsidRPr="00F245A1">
        <w:rPr>
          <w:rFonts w:cs="Calibri"/>
          <w:b/>
          <w:color w:val="000000"/>
        </w:rPr>
        <w:t xml:space="preserve"> billion in State and Local Taxes</w:t>
      </w:r>
      <w:r w:rsidRPr="00F245A1">
        <w:rPr>
          <w:rFonts w:cs="Calibri"/>
          <w:color w:val="000000"/>
        </w:rPr>
        <w:t xml:space="preserve">, an increase of </w:t>
      </w:r>
      <w:r w:rsidR="002E4151" w:rsidRPr="00F245A1">
        <w:rPr>
          <w:rFonts w:cs="Calibri"/>
          <w:b/>
          <w:color w:val="000000"/>
        </w:rPr>
        <w:t>3</w:t>
      </w:r>
      <w:r w:rsidR="00270ECC" w:rsidRPr="00F245A1">
        <w:rPr>
          <w:rFonts w:cs="Calibri"/>
          <w:b/>
          <w:color w:val="000000"/>
        </w:rPr>
        <w:t>.9</w:t>
      </w:r>
      <w:r w:rsidRPr="00F245A1">
        <w:rPr>
          <w:rFonts w:cs="Calibri"/>
          <w:b/>
          <w:color w:val="000000"/>
        </w:rPr>
        <w:t>%</w:t>
      </w:r>
      <w:r w:rsidRPr="00F245A1">
        <w:rPr>
          <w:rFonts w:cs="Calibri"/>
          <w:color w:val="000000"/>
        </w:rPr>
        <w:t xml:space="preserve"> compared to 201</w:t>
      </w:r>
      <w:r w:rsidR="002E4151" w:rsidRPr="00F245A1">
        <w:rPr>
          <w:rFonts w:cs="Calibri"/>
          <w:color w:val="000000"/>
        </w:rPr>
        <w:t>8</w:t>
      </w:r>
      <w:r w:rsidRPr="00F245A1">
        <w:rPr>
          <w:rFonts w:cs="Calibri"/>
          <w:color w:val="000000"/>
        </w:rPr>
        <w:t xml:space="preserve">.  Spending by travelers generated </w:t>
      </w:r>
      <w:r w:rsidRPr="00F245A1">
        <w:rPr>
          <w:rFonts w:cs="Calibri"/>
          <w:b/>
          <w:color w:val="000000"/>
        </w:rPr>
        <w:t>$</w:t>
      </w:r>
      <w:r w:rsidR="002E4151" w:rsidRPr="00F245A1">
        <w:rPr>
          <w:rFonts w:cs="Calibri"/>
          <w:b/>
          <w:color w:val="000000"/>
        </w:rPr>
        <w:t>5.1</w:t>
      </w:r>
      <w:r w:rsidRPr="00F245A1">
        <w:rPr>
          <w:rFonts w:cs="Calibri"/>
          <w:b/>
          <w:color w:val="000000"/>
        </w:rPr>
        <w:t xml:space="preserve"> million</w:t>
      </w:r>
      <w:r w:rsidRPr="00F245A1">
        <w:rPr>
          <w:rFonts w:cs="Calibri"/>
          <w:color w:val="000000"/>
        </w:rPr>
        <w:t xml:space="preserve"> </w:t>
      </w:r>
      <w:r w:rsidRPr="00F245A1">
        <w:rPr>
          <w:rFonts w:cs="Calibri"/>
          <w:b/>
          <w:color w:val="000000"/>
        </w:rPr>
        <w:t>in state &amp; local taxes a day.</w:t>
      </w:r>
    </w:p>
    <w:p w14:paraId="391C9B0C" w14:textId="77777777" w:rsidR="007D4A33" w:rsidRPr="00F245A1" w:rsidRDefault="007D4A33" w:rsidP="007D4A33">
      <w:pPr>
        <w:pStyle w:val="ListParagraph"/>
        <w:autoSpaceDE w:val="0"/>
        <w:autoSpaceDN w:val="0"/>
        <w:adjustRightInd w:val="0"/>
        <w:rPr>
          <w:rFonts w:cs="Calibri"/>
          <w:color w:val="000000"/>
        </w:rPr>
      </w:pPr>
    </w:p>
    <w:p w14:paraId="1974EFF5" w14:textId="551FD9BA" w:rsidR="007D4A33" w:rsidRPr="00F245A1" w:rsidRDefault="00F245A1" w:rsidP="007D4A33">
      <w:pPr>
        <w:numPr>
          <w:ilvl w:val="0"/>
          <w:numId w:val="3"/>
        </w:numPr>
        <w:spacing w:after="0"/>
        <w:rPr>
          <w:rFonts w:cs="Calibri"/>
        </w:rPr>
      </w:pPr>
      <w:r w:rsidRPr="00F245A1">
        <w:rPr>
          <w:rFonts w:cs="Calibri"/>
          <w:b/>
        </w:rPr>
        <w:t xml:space="preserve">Out of Virginia’s 133 counties and independent cities, 125 </w:t>
      </w:r>
      <w:r w:rsidR="007D4A33" w:rsidRPr="00F245A1">
        <w:rPr>
          <w:rFonts w:cs="Calibri"/>
          <w:b/>
        </w:rPr>
        <w:t>localities saw an increase in travel expenditures</w:t>
      </w:r>
      <w:r w:rsidR="007D4A33" w:rsidRPr="00F245A1">
        <w:rPr>
          <w:rFonts w:cs="Calibri"/>
        </w:rPr>
        <w:t xml:space="preserve"> within a range of </w:t>
      </w:r>
      <w:r w:rsidR="00270ECC" w:rsidRPr="00F245A1">
        <w:rPr>
          <w:rFonts w:cs="Calibri"/>
          <w:i/>
        </w:rPr>
        <w:t>12.</w:t>
      </w:r>
      <w:r w:rsidRPr="00F245A1">
        <w:rPr>
          <w:rFonts w:cs="Calibri"/>
          <w:i/>
        </w:rPr>
        <w:t>0</w:t>
      </w:r>
      <w:r w:rsidR="007D4A33" w:rsidRPr="00F245A1">
        <w:rPr>
          <w:rFonts w:cs="Calibri"/>
          <w:i/>
        </w:rPr>
        <w:t>% (</w:t>
      </w:r>
      <w:r w:rsidRPr="00F245A1">
        <w:rPr>
          <w:rFonts w:cs="Calibri"/>
          <w:i/>
        </w:rPr>
        <w:t>Middlesex County</w:t>
      </w:r>
      <w:r w:rsidR="007D4A33" w:rsidRPr="00F245A1">
        <w:rPr>
          <w:rFonts w:cs="Calibri"/>
          <w:i/>
        </w:rPr>
        <w:t>) and 0.</w:t>
      </w:r>
      <w:r w:rsidRPr="00F245A1">
        <w:rPr>
          <w:rFonts w:cs="Calibri"/>
          <w:i/>
        </w:rPr>
        <w:t>1</w:t>
      </w:r>
      <w:r w:rsidR="007D4A33" w:rsidRPr="00F245A1">
        <w:rPr>
          <w:rFonts w:cs="Calibri"/>
          <w:i/>
        </w:rPr>
        <w:t>% (</w:t>
      </w:r>
      <w:r w:rsidRPr="00F245A1">
        <w:rPr>
          <w:rFonts w:cs="Calibri"/>
          <w:i/>
        </w:rPr>
        <w:t>Shenandoah</w:t>
      </w:r>
      <w:r w:rsidR="007D4A33" w:rsidRPr="00F245A1">
        <w:rPr>
          <w:rFonts w:cs="Calibri"/>
          <w:i/>
        </w:rPr>
        <w:t xml:space="preserve"> County)</w:t>
      </w:r>
      <w:r w:rsidR="007D4A33" w:rsidRPr="00F245A1">
        <w:rPr>
          <w:rFonts w:cs="Calibri"/>
        </w:rPr>
        <w:t xml:space="preserve"> in 201</w:t>
      </w:r>
      <w:r w:rsidRPr="00F245A1">
        <w:rPr>
          <w:rFonts w:cs="Calibri"/>
        </w:rPr>
        <w:t xml:space="preserve">9 </w:t>
      </w:r>
      <w:r w:rsidR="007D4A33" w:rsidRPr="00F245A1">
        <w:rPr>
          <w:rFonts w:cs="Calibri"/>
        </w:rPr>
        <w:t>compared to previous year.</w:t>
      </w:r>
      <w:r w:rsidR="0073270F">
        <w:rPr>
          <w:rFonts w:cs="Calibri"/>
        </w:rPr>
        <w:t xml:space="preserve"> Westmoreland county saw most decline in domestic travel expenditure in 2019, a 2% decrease from 2018.</w:t>
      </w:r>
      <w:r w:rsidR="007D4A33" w:rsidRPr="00F245A1">
        <w:rPr>
          <w:rFonts w:cs="Calibri"/>
        </w:rPr>
        <w:t xml:space="preserve">  </w:t>
      </w:r>
      <w:r w:rsidR="007D4A33" w:rsidRPr="00F245A1">
        <w:rPr>
          <w:rFonts w:cs="Calibri"/>
          <w:b/>
        </w:rPr>
        <w:t>Arlington County</w:t>
      </w:r>
      <w:r w:rsidR="007D4A33" w:rsidRPr="00F245A1">
        <w:rPr>
          <w:rFonts w:cs="Calibri"/>
        </w:rPr>
        <w:t xml:space="preserve"> received </w:t>
      </w:r>
      <w:r w:rsidRPr="00F245A1">
        <w:rPr>
          <w:rFonts w:cs="Calibri"/>
        </w:rPr>
        <w:t>$</w:t>
      </w:r>
      <w:r w:rsidR="007D4A33" w:rsidRPr="00F245A1">
        <w:rPr>
          <w:rFonts w:cs="Calibri"/>
        </w:rPr>
        <w:t>3.</w:t>
      </w:r>
      <w:r w:rsidRPr="00F245A1">
        <w:rPr>
          <w:rFonts w:cs="Calibri"/>
        </w:rPr>
        <w:t>5</w:t>
      </w:r>
      <w:r w:rsidR="007D4A33" w:rsidRPr="00F245A1">
        <w:rPr>
          <w:rFonts w:cs="Calibri"/>
        </w:rPr>
        <w:t xml:space="preserve"> billion in domestic travel expenditures leading all of Virginia’s 133 counties and independent cities.  </w:t>
      </w:r>
      <w:r w:rsidR="007D4A33" w:rsidRPr="00F245A1">
        <w:rPr>
          <w:rFonts w:cs="Calibri"/>
          <w:b/>
        </w:rPr>
        <w:t>Fairfax County</w:t>
      </w:r>
      <w:r w:rsidR="007D4A33" w:rsidRPr="00F245A1">
        <w:rPr>
          <w:rFonts w:cs="Calibri"/>
        </w:rPr>
        <w:t xml:space="preserve"> followed </w:t>
      </w:r>
      <w:r w:rsidRPr="00F245A1">
        <w:rPr>
          <w:rFonts w:cs="Calibri"/>
          <w:b/>
        </w:rPr>
        <w:t>Arlington</w:t>
      </w:r>
      <w:r w:rsidR="007D4A33" w:rsidRPr="00F245A1">
        <w:rPr>
          <w:rFonts w:cs="Calibri"/>
          <w:b/>
        </w:rPr>
        <w:t xml:space="preserve"> County</w:t>
      </w:r>
      <w:r w:rsidR="007D4A33" w:rsidRPr="00F245A1">
        <w:rPr>
          <w:rFonts w:cs="Calibri"/>
        </w:rPr>
        <w:t xml:space="preserve"> closely, ranking second with $3.</w:t>
      </w:r>
      <w:r w:rsidRPr="00F245A1">
        <w:rPr>
          <w:rFonts w:cs="Calibri"/>
        </w:rPr>
        <w:t>4</w:t>
      </w:r>
      <w:r w:rsidR="007D4A33" w:rsidRPr="00F245A1">
        <w:rPr>
          <w:rFonts w:cs="Calibri"/>
        </w:rPr>
        <w:t xml:space="preserve"> billion.  </w:t>
      </w:r>
      <w:r w:rsidR="007D4A33" w:rsidRPr="00F245A1">
        <w:rPr>
          <w:rFonts w:cs="Calibri"/>
          <w:b/>
        </w:rPr>
        <w:t>Loudoun County</w:t>
      </w:r>
      <w:r w:rsidR="007D4A33" w:rsidRPr="00F245A1">
        <w:rPr>
          <w:rFonts w:cs="Calibri"/>
        </w:rPr>
        <w:t xml:space="preserve"> ranked third with $1.</w:t>
      </w:r>
      <w:r w:rsidRPr="00F245A1">
        <w:rPr>
          <w:rFonts w:cs="Calibri"/>
        </w:rPr>
        <w:t>9</w:t>
      </w:r>
      <w:r w:rsidR="007D4A33" w:rsidRPr="00F245A1">
        <w:rPr>
          <w:rFonts w:cs="Calibri"/>
        </w:rPr>
        <w:t xml:space="preserve"> billion; </w:t>
      </w:r>
      <w:r w:rsidR="007D4A33" w:rsidRPr="00F245A1">
        <w:rPr>
          <w:rFonts w:cs="Calibri"/>
          <w:b/>
        </w:rPr>
        <w:t>Virginia Beach City</w:t>
      </w:r>
      <w:r w:rsidR="007D4A33" w:rsidRPr="00F245A1">
        <w:rPr>
          <w:rFonts w:cs="Calibri"/>
        </w:rPr>
        <w:t>, fourth with $1.</w:t>
      </w:r>
      <w:r w:rsidRPr="00F245A1">
        <w:rPr>
          <w:rFonts w:cs="Calibri"/>
        </w:rPr>
        <w:t>7</w:t>
      </w:r>
      <w:r w:rsidR="007D4A33" w:rsidRPr="00F245A1">
        <w:rPr>
          <w:rFonts w:cs="Calibri"/>
        </w:rPr>
        <w:t xml:space="preserve"> billion and </w:t>
      </w:r>
      <w:r w:rsidR="007D4A33" w:rsidRPr="00F245A1">
        <w:rPr>
          <w:rFonts w:cs="Calibri"/>
          <w:b/>
        </w:rPr>
        <w:t>Henrico County</w:t>
      </w:r>
      <w:r w:rsidR="007D4A33" w:rsidRPr="00F245A1">
        <w:rPr>
          <w:rFonts w:cs="Calibri"/>
        </w:rPr>
        <w:t>, fifth with $9</w:t>
      </w:r>
      <w:r w:rsidRPr="00F245A1">
        <w:rPr>
          <w:rFonts w:cs="Calibri"/>
        </w:rPr>
        <w:t>9</w:t>
      </w:r>
      <w:r w:rsidR="00BC046A" w:rsidRPr="00F245A1">
        <w:rPr>
          <w:rFonts w:cs="Calibri"/>
        </w:rPr>
        <w:t>4</w:t>
      </w:r>
      <w:r w:rsidR="007D4A33" w:rsidRPr="00F245A1">
        <w:rPr>
          <w:rFonts w:cs="Calibri"/>
        </w:rPr>
        <w:t xml:space="preserve"> million.</w:t>
      </w:r>
    </w:p>
    <w:p w14:paraId="36264041" w14:textId="77777777" w:rsidR="007D4A33" w:rsidRPr="00F245A1" w:rsidRDefault="007D4A33" w:rsidP="007D4A33">
      <w:pPr>
        <w:spacing w:after="0"/>
        <w:rPr>
          <w:rFonts w:cs="Calibri"/>
        </w:rPr>
      </w:pPr>
    </w:p>
    <w:p w14:paraId="747BC491" w14:textId="54B89368" w:rsidR="007D4A33" w:rsidRPr="00F245A1" w:rsidRDefault="007D4A33" w:rsidP="007D4A33">
      <w:pPr>
        <w:numPr>
          <w:ilvl w:val="0"/>
          <w:numId w:val="3"/>
        </w:numPr>
        <w:spacing w:after="0"/>
        <w:rPr>
          <w:rFonts w:cs="Calibri"/>
        </w:rPr>
      </w:pPr>
      <w:r w:rsidRPr="00F245A1">
        <w:rPr>
          <w:rFonts w:cs="Calibri"/>
        </w:rPr>
        <w:t>Forty-</w:t>
      </w:r>
      <w:r w:rsidR="00F245A1" w:rsidRPr="00F245A1">
        <w:rPr>
          <w:rFonts w:cs="Calibri"/>
        </w:rPr>
        <w:t>six</w:t>
      </w:r>
      <w:r w:rsidRPr="00F245A1">
        <w:rPr>
          <w:rFonts w:cs="Calibri"/>
        </w:rPr>
        <w:t xml:space="preserve"> of Virginia’s 133 counties and independent cities received over $100 million in domestic travel expenditures in 201</w:t>
      </w:r>
      <w:r w:rsidR="00F245A1" w:rsidRPr="00F245A1">
        <w:rPr>
          <w:rFonts w:cs="Calibri"/>
        </w:rPr>
        <w:t>9</w:t>
      </w:r>
      <w:r w:rsidRPr="00F245A1">
        <w:rPr>
          <w:rFonts w:cs="Calibri"/>
        </w:rPr>
        <w:t>.</w:t>
      </w:r>
    </w:p>
    <w:p w14:paraId="4B30EF67" w14:textId="77777777" w:rsidR="007D4A33" w:rsidRPr="00F245A1" w:rsidRDefault="007D4A33" w:rsidP="007D4A33">
      <w:pPr>
        <w:spacing w:after="0"/>
        <w:rPr>
          <w:rFonts w:cs="Calibri"/>
        </w:rPr>
      </w:pPr>
    </w:p>
    <w:p w14:paraId="2F5D1EA8" w14:textId="2D9528E2" w:rsidR="007D4A33" w:rsidRPr="00F245A1" w:rsidRDefault="007D4A33" w:rsidP="007D4A33">
      <w:pPr>
        <w:numPr>
          <w:ilvl w:val="0"/>
          <w:numId w:val="3"/>
        </w:numPr>
        <w:spacing w:after="0"/>
        <w:rPr>
          <w:rFonts w:cs="Calibri"/>
        </w:rPr>
      </w:pPr>
      <w:r w:rsidRPr="00F245A1">
        <w:rPr>
          <w:rFonts w:cs="Calibri"/>
        </w:rPr>
        <w:t xml:space="preserve">Forty-three counties and independent cities in Virginia </w:t>
      </w:r>
      <w:r w:rsidR="007057E2">
        <w:rPr>
          <w:rFonts w:cs="Calibri"/>
        </w:rPr>
        <w:t>realized one</w:t>
      </w:r>
      <w:r w:rsidRPr="00F245A1">
        <w:rPr>
          <w:rFonts w:cs="Calibri"/>
        </w:rPr>
        <w:t xml:space="preserve"> thousand or more jobs that were directly supported by domestic travelers during 201</w:t>
      </w:r>
      <w:r w:rsidR="00F245A1" w:rsidRPr="00F245A1">
        <w:rPr>
          <w:rFonts w:cs="Calibri"/>
        </w:rPr>
        <w:t>9</w:t>
      </w:r>
      <w:r w:rsidRPr="00F245A1">
        <w:rPr>
          <w:rFonts w:cs="Calibri"/>
        </w:rPr>
        <w:t>.</w:t>
      </w:r>
    </w:p>
    <w:p w14:paraId="226DDD83" w14:textId="77777777" w:rsidR="00DD7B90" w:rsidRPr="009C68F3" w:rsidRDefault="00DD7B90" w:rsidP="006503CE">
      <w:pPr>
        <w:pStyle w:val="ListParagraph"/>
        <w:rPr>
          <w:rFonts w:cs="Times-Roman"/>
          <w:color w:val="000000"/>
          <w:sz w:val="24"/>
          <w:szCs w:val="24"/>
        </w:rPr>
      </w:pPr>
    </w:p>
    <w:p w14:paraId="6BD7B331" w14:textId="77777777" w:rsidR="005625F6" w:rsidRDefault="005625F6" w:rsidP="006503CE">
      <w:pPr>
        <w:spacing w:line="240" w:lineRule="auto"/>
      </w:pPr>
    </w:p>
    <w:p w14:paraId="4D025F61" w14:textId="77777777" w:rsidR="005625F6" w:rsidRPr="005625F6" w:rsidRDefault="005625F6" w:rsidP="005625F6"/>
    <w:p w14:paraId="6F11DA63" w14:textId="77777777" w:rsidR="005625F6" w:rsidRPr="005625F6" w:rsidRDefault="005625F6" w:rsidP="005625F6"/>
    <w:p w14:paraId="1AF3F31D" w14:textId="77777777" w:rsidR="003722E3" w:rsidRDefault="003722E3" w:rsidP="005625F6"/>
    <w:p w14:paraId="1BC26FC9" w14:textId="77777777" w:rsidR="00AF0BB4" w:rsidRPr="003722E3" w:rsidRDefault="003722E3" w:rsidP="003722E3">
      <w:pPr>
        <w:tabs>
          <w:tab w:val="left" w:pos="1215"/>
        </w:tabs>
      </w:pPr>
      <w:r>
        <w:tab/>
      </w:r>
    </w:p>
    <w:sectPr w:rsidR="00AF0BB4" w:rsidRPr="003722E3" w:rsidSect="003F6AD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E0EE7" w14:textId="77777777" w:rsidR="00E57AD5" w:rsidRDefault="00E57AD5" w:rsidP="00A01B04">
      <w:pPr>
        <w:spacing w:after="0" w:line="240" w:lineRule="auto"/>
      </w:pPr>
      <w:r>
        <w:separator/>
      </w:r>
    </w:p>
  </w:endnote>
  <w:endnote w:type="continuationSeparator" w:id="0">
    <w:p w14:paraId="0B44E53A" w14:textId="77777777" w:rsidR="00E57AD5" w:rsidRDefault="00E57AD5" w:rsidP="00A0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4E32B" w14:textId="6A3D8E44" w:rsidR="00A01B04" w:rsidRPr="003F6AD1" w:rsidRDefault="00281D27">
    <w:pPr>
      <w:pStyle w:val="Footer"/>
      <w:rPr>
        <w:sz w:val="20"/>
      </w:rPr>
    </w:pPr>
    <w:r>
      <w:rPr>
        <w:sz w:val="18"/>
        <w:szCs w:val="20"/>
      </w:rPr>
      <w:t>Source: The 201</w:t>
    </w:r>
    <w:r w:rsidR="00CE306C">
      <w:rPr>
        <w:sz w:val="18"/>
        <w:szCs w:val="20"/>
      </w:rPr>
      <w:t>9</w:t>
    </w:r>
    <w:r w:rsidR="00A01B04" w:rsidRPr="003F6AD1">
      <w:rPr>
        <w:sz w:val="18"/>
        <w:szCs w:val="20"/>
      </w:rPr>
      <w:t xml:space="preserve"> Economic Impact of </w:t>
    </w:r>
    <w:r w:rsidR="00D241C4">
      <w:rPr>
        <w:sz w:val="18"/>
        <w:szCs w:val="20"/>
      </w:rPr>
      <w:t xml:space="preserve">Domestic </w:t>
    </w:r>
    <w:r w:rsidR="00A01B04" w:rsidRPr="003F6AD1">
      <w:rPr>
        <w:sz w:val="18"/>
        <w:szCs w:val="20"/>
      </w:rPr>
      <w:t>Travel on Virgi</w:t>
    </w:r>
    <w:r w:rsidR="006503CE">
      <w:rPr>
        <w:sz w:val="18"/>
        <w:szCs w:val="20"/>
      </w:rPr>
      <w:t xml:space="preserve">nia </w:t>
    </w:r>
    <w:r w:rsidR="00FC0697">
      <w:rPr>
        <w:sz w:val="18"/>
        <w:szCs w:val="20"/>
      </w:rPr>
      <w:t>–</w:t>
    </w:r>
    <w:r w:rsidR="006503CE">
      <w:rPr>
        <w:sz w:val="18"/>
        <w:szCs w:val="20"/>
      </w:rPr>
      <w:t xml:space="preserve"> </w:t>
    </w:r>
    <w:r w:rsidR="009858D8">
      <w:rPr>
        <w:sz w:val="18"/>
        <w:szCs w:val="20"/>
      </w:rPr>
      <w:t>U</w:t>
    </w:r>
    <w:r w:rsidR="00FC0697">
      <w:rPr>
        <w:sz w:val="18"/>
        <w:szCs w:val="20"/>
      </w:rPr>
      <w:t>.</w:t>
    </w:r>
    <w:r w:rsidR="009858D8">
      <w:rPr>
        <w:sz w:val="18"/>
        <w:szCs w:val="20"/>
      </w:rPr>
      <w:t>S</w:t>
    </w:r>
    <w:r w:rsidR="00FC0697">
      <w:rPr>
        <w:sz w:val="18"/>
        <w:szCs w:val="20"/>
      </w:rPr>
      <w:t>.</w:t>
    </w:r>
    <w:r w:rsidR="009858D8">
      <w:rPr>
        <w:sz w:val="18"/>
        <w:szCs w:val="20"/>
      </w:rPr>
      <w:t xml:space="preserve"> Travel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6A5C" w14:textId="77777777" w:rsidR="00E57AD5" w:rsidRDefault="00E57AD5" w:rsidP="00A01B04">
      <w:pPr>
        <w:spacing w:after="0" w:line="240" w:lineRule="auto"/>
      </w:pPr>
      <w:r>
        <w:separator/>
      </w:r>
    </w:p>
  </w:footnote>
  <w:footnote w:type="continuationSeparator" w:id="0">
    <w:p w14:paraId="4BBACA57" w14:textId="77777777" w:rsidR="00E57AD5" w:rsidRDefault="00E57AD5" w:rsidP="00A0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185E7" w14:textId="77777777" w:rsidR="003F6AD1" w:rsidRDefault="004E3A03" w:rsidP="003F6AD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12838D" wp14:editId="484D8300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1768256" cy="244475"/>
          <wp:effectExtent l="0" t="0" r="381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256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956579A"/>
    <w:multiLevelType w:val="hybridMultilevel"/>
    <w:tmpl w:val="D56E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80D"/>
    <w:multiLevelType w:val="singleLevel"/>
    <w:tmpl w:val="9E4A0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EB11D9"/>
    <w:multiLevelType w:val="hybridMultilevel"/>
    <w:tmpl w:val="E226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7CBE"/>
    <w:multiLevelType w:val="hybridMultilevel"/>
    <w:tmpl w:val="D6B4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9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3E78C6"/>
    <w:multiLevelType w:val="hybridMultilevel"/>
    <w:tmpl w:val="1656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503B"/>
    <w:multiLevelType w:val="hybridMultilevel"/>
    <w:tmpl w:val="6FFA4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AD34DE"/>
    <w:multiLevelType w:val="hybridMultilevel"/>
    <w:tmpl w:val="612A1B68"/>
    <w:lvl w:ilvl="0" w:tplc="54386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549BA"/>
    <w:multiLevelType w:val="hybridMultilevel"/>
    <w:tmpl w:val="3FE4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4335"/>
    <w:multiLevelType w:val="hybridMultilevel"/>
    <w:tmpl w:val="A678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24073"/>
    <w:multiLevelType w:val="hybridMultilevel"/>
    <w:tmpl w:val="8396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17"/>
    <w:rsid w:val="00016B07"/>
    <w:rsid w:val="00044C08"/>
    <w:rsid w:val="0005001D"/>
    <w:rsid w:val="000655DF"/>
    <w:rsid w:val="0008139C"/>
    <w:rsid w:val="00097358"/>
    <w:rsid w:val="000E1563"/>
    <w:rsid w:val="000E5E17"/>
    <w:rsid w:val="000F0FE2"/>
    <w:rsid w:val="000F6E19"/>
    <w:rsid w:val="0012161D"/>
    <w:rsid w:val="00127986"/>
    <w:rsid w:val="00156F11"/>
    <w:rsid w:val="001577A7"/>
    <w:rsid w:val="00161062"/>
    <w:rsid w:val="001869C6"/>
    <w:rsid w:val="0019068B"/>
    <w:rsid w:val="001D4349"/>
    <w:rsid w:val="002264FA"/>
    <w:rsid w:val="00235A11"/>
    <w:rsid w:val="00254A0A"/>
    <w:rsid w:val="00255ACF"/>
    <w:rsid w:val="0025754C"/>
    <w:rsid w:val="00260CBE"/>
    <w:rsid w:val="00270ECC"/>
    <w:rsid w:val="00271716"/>
    <w:rsid w:val="00281D27"/>
    <w:rsid w:val="002A32B6"/>
    <w:rsid w:val="002E1C17"/>
    <w:rsid w:val="002E4151"/>
    <w:rsid w:val="002F7896"/>
    <w:rsid w:val="00320916"/>
    <w:rsid w:val="003468FE"/>
    <w:rsid w:val="003722E3"/>
    <w:rsid w:val="003840BF"/>
    <w:rsid w:val="003A53C0"/>
    <w:rsid w:val="003B1C8E"/>
    <w:rsid w:val="003B3FDA"/>
    <w:rsid w:val="003D4C73"/>
    <w:rsid w:val="003F3026"/>
    <w:rsid w:val="003F6AD1"/>
    <w:rsid w:val="00421285"/>
    <w:rsid w:val="00441C49"/>
    <w:rsid w:val="004A423D"/>
    <w:rsid w:val="004A49F5"/>
    <w:rsid w:val="004B72C0"/>
    <w:rsid w:val="004B7A17"/>
    <w:rsid w:val="004C21E0"/>
    <w:rsid w:val="004C4360"/>
    <w:rsid w:val="004C4725"/>
    <w:rsid w:val="004E3A03"/>
    <w:rsid w:val="004F6614"/>
    <w:rsid w:val="0052288F"/>
    <w:rsid w:val="005255AF"/>
    <w:rsid w:val="005301A6"/>
    <w:rsid w:val="00534693"/>
    <w:rsid w:val="005369AF"/>
    <w:rsid w:val="00536C31"/>
    <w:rsid w:val="00541276"/>
    <w:rsid w:val="00556FE6"/>
    <w:rsid w:val="005625F6"/>
    <w:rsid w:val="00566AF9"/>
    <w:rsid w:val="00566FCC"/>
    <w:rsid w:val="00576BF6"/>
    <w:rsid w:val="0057764E"/>
    <w:rsid w:val="005846C6"/>
    <w:rsid w:val="005B094C"/>
    <w:rsid w:val="005B5882"/>
    <w:rsid w:val="005B7EFE"/>
    <w:rsid w:val="005C0B52"/>
    <w:rsid w:val="005F7A9B"/>
    <w:rsid w:val="006240EF"/>
    <w:rsid w:val="006437EC"/>
    <w:rsid w:val="006503CE"/>
    <w:rsid w:val="00650AB1"/>
    <w:rsid w:val="006D17D0"/>
    <w:rsid w:val="006F777D"/>
    <w:rsid w:val="007057E2"/>
    <w:rsid w:val="00717312"/>
    <w:rsid w:val="007207BC"/>
    <w:rsid w:val="007250E1"/>
    <w:rsid w:val="0073270F"/>
    <w:rsid w:val="00773A22"/>
    <w:rsid w:val="007D4A33"/>
    <w:rsid w:val="008056CF"/>
    <w:rsid w:val="00823EEB"/>
    <w:rsid w:val="008441FF"/>
    <w:rsid w:val="00862CF5"/>
    <w:rsid w:val="008A00F4"/>
    <w:rsid w:val="008A3E09"/>
    <w:rsid w:val="008E1E3F"/>
    <w:rsid w:val="009104F6"/>
    <w:rsid w:val="009311EA"/>
    <w:rsid w:val="009362F9"/>
    <w:rsid w:val="00953E72"/>
    <w:rsid w:val="00955768"/>
    <w:rsid w:val="0096320B"/>
    <w:rsid w:val="009858D8"/>
    <w:rsid w:val="009C68F3"/>
    <w:rsid w:val="009D1DD3"/>
    <w:rsid w:val="009D4EB0"/>
    <w:rsid w:val="009E3C02"/>
    <w:rsid w:val="00A01B04"/>
    <w:rsid w:val="00A36E6A"/>
    <w:rsid w:val="00A62970"/>
    <w:rsid w:val="00A63DFA"/>
    <w:rsid w:val="00A70D95"/>
    <w:rsid w:val="00A83399"/>
    <w:rsid w:val="00A8611A"/>
    <w:rsid w:val="00A91019"/>
    <w:rsid w:val="00AD552B"/>
    <w:rsid w:val="00AE687E"/>
    <w:rsid w:val="00AF0BB4"/>
    <w:rsid w:val="00B14184"/>
    <w:rsid w:val="00B20064"/>
    <w:rsid w:val="00B22B9F"/>
    <w:rsid w:val="00B565E4"/>
    <w:rsid w:val="00B671A5"/>
    <w:rsid w:val="00B92A76"/>
    <w:rsid w:val="00BB093F"/>
    <w:rsid w:val="00BB297F"/>
    <w:rsid w:val="00BC046A"/>
    <w:rsid w:val="00BC1A6B"/>
    <w:rsid w:val="00BE2BDB"/>
    <w:rsid w:val="00BF0221"/>
    <w:rsid w:val="00C24138"/>
    <w:rsid w:val="00C31465"/>
    <w:rsid w:val="00C46512"/>
    <w:rsid w:val="00C72428"/>
    <w:rsid w:val="00C72CBA"/>
    <w:rsid w:val="00C74A02"/>
    <w:rsid w:val="00C92D51"/>
    <w:rsid w:val="00CA3AC4"/>
    <w:rsid w:val="00CA7798"/>
    <w:rsid w:val="00CB519A"/>
    <w:rsid w:val="00CC3089"/>
    <w:rsid w:val="00CC4331"/>
    <w:rsid w:val="00CE306C"/>
    <w:rsid w:val="00D241C4"/>
    <w:rsid w:val="00D2452D"/>
    <w:rsid w:val="00D453FC"/>
    <w:rsid w:val="00D57BFE"/>
    <w:rsid w:val="00D71960"/>
    <w:rsid w:val="00D80678"/>
    <w:rsid w:val="00DA1FE0"/>
    <w:rsid w:val="00DB570E"/>
    <w:rsid w:val="00DD6F89"/>
    <w:rsid w:val="00DD7B90"/>
    <w:rsid w:val="00DE0961"/>
    <w:rsid w:val="00DF6F6D"/>
    <w:rsid w:val="00E25402"/>
    <w:rsid w:val="00E30081"/>
    <w:rsid w:val="00E43D5A"/>
    <w:rsid w:val="00E56CA2"/>
    <w:rsid w:val="00E57AD5"/>
    <w:rsid w:val="00E57DF9"/>
    <w:rsid w:val="00EA2E87"/>
    <w:rsid w:val="00EC03C5"/>
    <w:rsid w:val="00F245A1"/>
    <w:rsid w:val="00F26FB7"/>
    <w:rsid w:val="00F334E3"/>
    <w:rsid w:val="00F424F7"/>
    <w:rsid w:val="00F600FA"/>
    <w:rsid w:val="00F6290F"/>
    <w:rsid w:val="00F64FEF"/>
    <w:rsid w:val="00F6539C"/>
    <w:rsid w:val="00F74FF0"/>
    <w:rsid w:val="00F841BD"/>
    <w:rsid w:val="00F9076C"/>
    <w:rsid w:val="00FA2285"/>
    <w:rsid w:val="00FA78A0"/>
    <w:rsid w:val="00FB65AA"/>
    <w:rsid w:val="00FC0697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ACC0DE"/>
  <w15:docId w15:val="{A8E34163-B66A-4400-9E9D-C3BC1E7C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0FA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,Bullet List,FooterText,List Paragraph1,Paragraphe de liste1,Bulletr List Paragraph,列出段落,列出段落1,List Paragraph2,List Paragraph21,Párrafo de lista1,Parágrafo da Lista1,リスト段落1,Listeafsnit1"/>
    <w:basedOn w:val="Normal"/>
    <w:link w:val="ListParagraphChar"/>
    <w:uiPriority w:val="34"/>
    <w:qFormat/>
    <w:rsid w:val="00725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04"/>
  </w:style>
  <w:style w:type="paragraph" w:styleId="Footer">
    <w:name w:val="footer"/>
    <w:basedOn w:val="Normal"/>
    <w:link w:val="FooterChar"/>
    <w:uiPriority w:val="99"/>
    <w:unhideWhenUsed/>
    <w:rsid w:val="00A01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04"/>
  </w:style>
  <w:style w:type="character" w:customStyle="1" w:styleId="ListParagraphChar">
    <w:name w:val="List Paragraph Char"/>
    <w:aliases w:val="numbered Char,Bullet List Char,FooterText Char,List Paragraph1 Char,Paragraphe de liste1 Char,Bulletr List Paragraph Char,列出段落 Char,列出段落1 Char,List Paragraph2 Char,List Paragraph21 Char,Párrafo de lista1 Char,Parágrafo da Lista1 Char"/>
    <w:link w:val="ListParagraph"/>
    <w:uiPriority w:val="34"/>
    <w:locked/>
    <w:rsid w:val="007D4A33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C433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dk1" tx1="lt1" bg2="dk2" tx2="lt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401712838906973E-2"/>
          <c:y val="3.5932048817602175E-2"/>
          <c:w val="0.98598287161093012"/>
          <c:h val="0.836485747923484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85000"/>
                <a:lumOff val="15000"/>
                <a:alpha val="70000"/>
              </a:schemeClr>
            </a:solidFill>
            <a:ln>
              <a:solidFill>
                <a:schemeClr val="bg1">
                  <a:lumMod val="75000"/>
                  <a:lumOff val="25000"/>
                  <a:alpha val="51000"/>
                </a:schemeClr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Sheet1!$A$4:$A$13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Sheet1!$B$4:$B$13</c:f>
              <c:numCache>
                <c:formatCode>_("$"* #,##0.0_);_("$"* \(#,##0.0\);_("$"* "-"??_);_(@_)</c:formatCode>
                <c:ptCount val="10"/>
                <c:pt idx="0">
                  <c:v>18.899999999999999</c:v>
                </c:pt>
                <c:pt idx="1">
                  <c:v>20.399999999999999</c:v>
                </c:pt>
                <c:pt idx="2">
                  <c:v>21.2</c:v>
                </c:pt>
                <c:pt idx="3">
                  <c:v>21.5</c:v>
                </c:pt>
                <c:pt idx="4">
                  <c:v>22.4</c:v>
                </c:pt>
                <c:pt idx="5">
                  <c:v>22.9</c:v>
                </c:pt>
                <c:pt idx="6">
                  <c:v>23.7</c:v>
                </c:pt>
                <c:pt idx="7">
                  <c:v>24.7</c:v>
                </c:pt>
                <c:pt idx="8" formatCode="&quot;$&quot;#,##0.0_);[Red]\(&quot;$&quot;#,##0.0\)">
                  <c:v>25.8</c:v>
                </c:pt>
                <c:pt idx="9">
                  <c:v>26.7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9F-4AC3-9EA1-67558B852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9601880"/>
        <c:axId val="209602272"/>
      </c:barChart>
      <c:catAx>
        <c:axId val="209601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602272"/>
        <c:crosses val="autoZero"/>
        <c:auto val="1"/>
        <c:lblAlgn val="ctr"/>
        <c:lblOffset val="100"/>
        <c:noMultiLvlLbl val="0"/>
      </c:catAx>
      <c:valAx>
        <c:axId val="209602272"/>
        <c:scaling>
          <c:orientation val="minMax"/>
        </c:scaling>
        <c:delete val="1"/>
        <c:axPos val="l"/>
        <c:numFmt formatCode="_(&quot;$&quot;* #,##0.0_);_(&quot;$&quot;* \(#,##0.0\);_(&quot;$&quot;* &quot;-&quot;??_);_(@_)" sourceLinked="1"/>
        <c:majorTickMark val="none"/>
        <c:minorTickMark val="none"/>
        <c:tickLblPos val="nextTo"/>
        <c:crossAx val="209601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4.4881889763779534E-2"/>
          <c:w val="0.88194444444444442"/>
          <c:h val="0.85385848967610545"/>
        </c:manualLayout>
      </c:layout>
      <c:pie3DChart>
        <c:varyColors val="0"/>
        <c:ser>
          <c:idx val="0"/>
          <c:order val="0"/>
          <c:spPr>
            <a:solidFill>
              <a:sysClr val="windowText" lastClr="000000">
                <a:lumMod val="65000"/>
                <a:lumOff val="35000"/>
              </a:sysClr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explosion val="5"/>
          <c:dPt>
            <c:idx val="0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132-49B5-8594-1C473F60AE62}"/>
              </c:ext>
            </c:extLst>
          </c:dPt>
          <c:dPt>
            <c:idx val="1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132-49B5-8594-1C473F60AE62}"/>
              </c:ext>
            </c:extLst>
          </c:dPt>
          <c:dPt>
            <c:idx val="2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132-49B5-8594-1C473F60AE62}"/>
              </c:ext>
            </c:extLst>
          </c:dPt>
          <c:dPt>
            <c:idx val="3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132-49B5-8594-1C473F60AE62}"/>
              </c:ext>
            </c:extLst>
          </c:dPt>
          <c:dPt>
            <c:idx val="4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132-49B5-8594-1C473F60AE62}"/>
              </c:ext>
            </c:extLst>
          </c:dPt>
          <c:dPt>
            <c:idx val="5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132-49B5-8594-1C473F60AE62}"/>
              </c:ext>
            </c:extLst>
          </c:dPt>
          <c:dLbls>
            <c:dLbl>
              <c:idx val="0"/>
              <c:layout>
                <c:manualLayout>
                  <c:x val="-0.1638267351997667"/>
                  <c:y val="4.20265186196334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060841353164189"/>
                      <c:h val="0.257291926775537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32-49B5-8594-1C473F60AE62}"/>
                </c:ext>
              </c:extLst>
            </c:dLbl>
            <c:dLbl>
              <c:idx val="1"/>
              <c:layout>
                <c:manualLayout>
                  <c:x val="-9.7174285505978425E-2"/>
                  <c:y val="1.60209030425108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73596529600467"/>
                      <c:h val="0.257291926775537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132-49B5-8594-1C473F60AE62}"/>
                </c:ext>
              </c:extLst>
            </c:dLbl>
            <c:dLbl>
              <c:idx val="2"/>
              <c:layout>
                <c:manualLayout>
                  <c:x val="-0.15820410469524651"/>
                  <c:y val="-0.3240138058852580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32-49B5-8594-1C473F60AE62}"/>
                </c:ext>
              </c:extLst>
            </c:dLbl>
            <c:dLbl>
              <c:idx val="3"/>
              <c:layout>
                <c:manualLayout>
                  <c:x val="0.14383073544378377"/>
                  <c:y val="-0.189028168938624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594675665541808"/>
                      <c:h val="0.2105217852531418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132-49B5-8594-1C473F60AE62}"/>
                </c:ext>
              </c:extLst>
            </c:dLbl>
            <c:dLbl>
              <c:idx val="4"/>
              <c:layout>
                <c:manualLayout>
                  <c:x val="0.15074712015164771"/>
                  <c:y val="6.75644931275768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132-49B5-8594-1C473F60AE62}"/>
                </c:ext>
              </c:extLst>
            </c:dLbl>
            <c:dLbl>
              <c:idx val="5"/>
              <c:layout>
                <c:manualLayout>
                  <c:x val="0.1119708734324876"/>
                  <c:y val="8.31611759418021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672977909325295"/>
                      <c:h val="0.177227459812384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2132-49B5-8594-1C473F60AE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Sheet1!$A$26:$A$31</c:f>
              <c:strCache>
                <c:ptCount val="6"/>
                <c:pt idx="0">
                  <c:v>Public Transportation</c:v>
                </c:pt>
                <c:pt idx="1">
                  <c:v>Auto Transportation</c:v>
                </c:pt>
                <c:pt idx="2">
                  <c:v>Lodging</c:v>
                </c:pt>
                <c:pt idx="3">
                  <c:v>Foodservice</c:v>
                </c:pt>
                <c:pt idx="4">
                  <c:v>Recreation</c:v>
                </c:pt>
                <c:pt idx="5">
                  <c:v>Retail</c:v>
                </c:pt>
              </c:strCache>
            </c:strRef>
          </c:cat>
          <c:val>
            <c:numRef>
              <c:f>Sheet1!$B$26:$B$31</c:f>
              <c:numCache>
                <c:formatCode>0.0%</c:formatCode>
                <c:ptCount val="6"/>
                <c:pt idx="0">
                  <c:v>0.1338247969588334</c:v>
                </c:pt>
                <c:pt idx="1">
                  <c:v>0.20204503929647061</c:v>
                </c:pt>
                <c:pt idx="2">
                  <c:v>0.19484355568905104</c:v>
                </c:pt>
                <c:pt idx="3">
                  <c:v>0.30058372477275275</c:v>
                </c:pt>
                <c:pt idx="4">
                  <c:v>7.4451982258673707E-2</c:v>
                </c:pt>
                <c:pt idx="5">
                  <c:v>9.4250901024218445E-2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132-49B5-8594-1C473F60A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Grayscale">
    <a:dk1>
      <a:sysClr val="windowText" lastClr="000000"/>
    </a:dk1>
    <a:lt1>
      <a:sysClr val="window" lastClr="FFFFFF"/>
    </a:lt1>
    <a:dk2>
      <a:srgbClr val="000000"/>
    </a:dk2>
    <a:lt2>
      <a:srgbClr val="F8F8F8"/>
    </a:lt2>
    <a:accent1>
      <a:srgbClr val="DDDDDD"/>
    </a:accent1>
    <a:accent2>
      <a:srgbClr val="B2B2B2"/>
    </a:accent2>
    <a:accent3>
      <a:srgbClr val="969696"/>
    </a:accent3>
    <a:accent4>
      <a:srgbClr val="808080"/>
    </a:accent4>
    <a:accent5>
      <a:srgbClr val="5F5F5F"/>
    </a:accent5>
    <a:accent6>
      <a:srgbClr val="4D4D4D"/>
    </a:accent6>
    <a:hlink>
      <a:srgbClr val="5F5F5F"/>
    </a:hlink>
    <a:folHlink>
      <a:srgbClr val="919191"/>
    </a:folHlink>
  </a:clrScheme>
  <a:fontScheme name="Berlin">
    <a:majorFont>
      <a:latin typeface="Trebuchet MS" panose="020B0603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rebuchet MS" panose="020B0603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erlin">
    <a:fillStyleLst>
      <a:solidFill>
        <a:schemeClr val="phClr"/>
      </a:solidFill>
      <a:gradFill rotWithShape="1">
        <a:gsLst>
          <a:gs pos="0">
            <a:schemeClr val="phClr">
              <a:tint val="60000"/>
              <a:satMod val="100000"/>
              <a:lumMod val="110000"/>
            </a:schemeClr>
          </a:gs>
          <a:gs pos="100000">
            <a:schemeClr val="phClr">
              <a:tint val="70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6000"/>
              <a:shade val="100000"/>
              <a:hueMod val="92000"/>
              <a:satMod val="200000"/>
              <a:lumMod val="138000"/>
            </a:schemeClr>
          </a:gs>
          <a:gs pos="50000">
            <a:schemeClr val="phClr">
              <a:shade val="100000"/>
              <a:hueMod val="100000"/>
              <a:satMod val="110000"/>
              <a:lumMod val="130000"/>
            </a:schemeClr>
          </a:gs>
          <a:gs pos="100000">
            <a:schemeClr val="phClr">
              <a:shade val="78000"/>
              <a:hueMod val="106000"/>
              <a:satMod val="120000"/>
              <a:lumMod val="79000"/>
            </a:schemeClr>
          </a:gs>
        </a:gsLst>
        <a:lin ang="252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E8CB-6236-4AF2-9DDE-4FF5E943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Calvert, Esra</dc:creator>
  <cp:keywords/>
  <cp:lastModifiedBy>Bhattarai, Pratiksha</cp:lastModifiedBy>
  <cp:revision>5</cp:revision>
  <cp:lastPrinted>2016-09-01T14:57:00Z</cp:lastPrinted>
  <dcterms:created xsi:type="dcterms:W3CDTF">2020-08-20T03:10:00Z</dcterms:created>
  <dcterms:modified xsi:type="dcterms:W3CDTF">2020-09-14T16:03:00Z</dcterms:modified>
</cp:coreProperties>
</file>