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D56" w:rsidRDefault="00462D56" w:rsidP="00992711">
      <w:pPr>
        <w:jc w:val="both"/>
        <w:rPr>
          <w:rFonts w:asciiTheme="minorHAnsi" w:hAnsiTheme="minorHAnsi"/>
          <w:sz w:val="22"/>
          <w:szCs w:val="22"/>
        </w:rPr>
      </w:pPr>
    </w:p>
    <w:p w:rsidR="00992711" w:rsidRDefault="00992711" w:rsidP="00992711">
      <w:pPr>
        <w:jc w:val="both"/>
        <w:rPr>
          <w:rFonts w:asciiTheme="minorHAnsi" w:hAnsiTheme="minorHAnsi"/>
          <w:sz w:val="22"/>
          <w:szCs w:val="22"/>
        </w:rPr>
      </w:pPr>
      <w:r w:rsidRPr="00321B01">
        <w:rPr>
          <w:rFonts w:asciiTheme="minorHAnsi" w:hAnsiTheme="minorHAnsi"/>
          <w:sz w:val="22"/>
          <w:szCs w:val="22"/>
        </w:rPr>
        <w:t>Virginia Tourism Corporation</w:t>
      </w:r>
      <w:r w:rsidR="003A3B33" w:rsidRPr="003A3B33">
        <w:rPr>
          <w:rFonts w:asciiTheme="minorHAnsi" w:hAnsiTheme="minorHAnsi"/>
          <w:sz w:val="22"/>
          <w:szCs w:val="22"/>
        </w:rPr>
        <w:t xml:space="preserve"> </w:t>
      </w:r>
      <w:r w:rsidR="003A3B33">
        <w:rPr>
          <w:rFonts w:asciiTheme="minorHAnsi" w:hAnsiTheme="minorHAnsi"/>
          <w:sz w:val="22"/>
          <w:szCs w:val="22"/>
        </w:rPr>
        <w:t xml:space="preserve">obtains travel-industry related excise tax collections and rates </w:t>
      </w:r>
      <w:r w:rsidR="004B59BD">
        <w:rPr>
          <w:rFonts w:asciiTheme="minorHAnsi" w:hAnsiTheme="minorHAnsi"/>
          <w:sz w:val="22"/>
          <w:szCs w:val="22"/>
        </w:rPr>
        <w:t xml:space="preserve">data </w:t>
      </w:r>
      <w:r w:rsidR="003A3B33">
        <w:rPr>
          <w:rFonts w:asciiTheme="minorHAnsi" w:hAnsiTheme="minorHAnsi"/>
          <w:sz w:val="22"/>
          <w:szCs w:val="22"/>
        </w:rPr>
        <w:t xml:space="preserve">from the Auditor of Public Accounts and Weldon Cooper Center for Public </w:t>
      </w:r>
      <w:r w:rsidR="00AC48C1">
        <w:rPr>
          <w:rFonts w:asciiTheme="minorHAnsi" w:hAnsiTheme="minorHAnsi"/>
          <w:sz w:val="22"/>
          <w:szCs w:val="22"/>
        </w:rPr>
        <w:t>Service</w:t>
      </w:r>
      <w:r w:rsidR="003A3B33">
        <w:rPr>
          <w:rFonts w:asciiTheme="minorHAnsi" w:hAnsiTheme="minorHAnsi"/>
          <w:sz w:val="22"/>
          <w:szCs w:val="22"/>
        </w:rPr>
        <w:t xml:space="preserve"> at </w:t>
      </w:r>
      <w:r w:rsidR="004B59BD">
        <w:rPr>
          <w:rFonts w:asciiTheme="minorHAnsi" w:hAnsiTheme="minorHAnsi"/>
          <w:sz w:val="22"/>
          <w:szCs w:val="22"/>
        </w:rPr>
        <w:t>the University of Virginia.</w:t>
      </w:r>
      <w:r w:rsidR="003A3B33">
        <w:rPr>
          <w:rFonts w:asciiTheme="minorHAnsi" w:hAnsiTheme="minorHAnsi"/>
          <w:sz w:val="22"/>
          <w:szCs w:val="22"/>
        </w:rPr>
        <w:t xml:space="preserve">  </w:t>
      </w:r>
      <w:r w:rsidRPr="00321B01">
        <w:rPr>
          <w:rFonts w:asciiTheme="minorHAnsi" w:hAnsiTheme="minorHAnsi"/>
          <w:sz w:val="22"/>
          <w:szCs w:val="22"/>
        </w:rPr>
        <w:t>The discussion below exp</w:t>
      </w:r>
      <w:r w:rsidR="004B59BD">
        <w:rPr>
          <w:rFonts w:asciiTheme="minorHAnsi" w:hAnsiTheme="minorHAnsi"/>
          <w:sz w:val="22"/>
          <w:szCs w:val="22"/>
        </w:rPr>
        <w:t>lains the topics in more detail:</w:t>
      </w:r>
    </w:p>
    <w:p w:rsidR="00CB745E" w:rsidRDefault="00CB745E"/>
    <w:p w:rsidR="00992711" w:rsidRDefault="00992711" w:rsidP="00992711">
      <w:pPr>
        <w:jc w:val="both"/>
        <w:rPr>
          <w:rFonts w:asciiTheme="minorHAnsi" w:hAnsiTheme="minorHAnsi"/>
          <w:b/>
          <w:sz w:val="22"/>
          <w:szCs w:val="22"/>
        </w:rPr>
      </w:pPr>
      <w:r w:rsidRPr="00321B01">
        <w:rPr>
          <w:rFonts w:asciiTheme="minorHAnsi" w:hAnsiTheme="minorHAnsi"/>
          <w:b/>
          <w:sz w:val="22"/>
        </w:rPr>
        <w:t xml:space="preserve">Local </w:t>
      </w:r>
      <w:r w:rsidRPr="00321B01">
        <w:rPr>
          <w:rFonts w:asciiTheme="minorHAnsi" w:hAnsiTheme="minorHAnsi"/>
          <w:b/>
          <w:sz w:val="22"/>
          <w:szCs w:val="22"/>
        </w:rPr>
        <w:t>Excise Tax Collections</w:t>
      </w:r>
    </w:p>
    <w:p w:rsidR="00992711" w:rsidRPr="00321B01" w:rsidRDefault="00992711" w:rsidP="00992711">
      <w:pPr>
        <w:jc w:val="both"/>
        <w:rPr>
          <w:rFonts w:asciiTheme="minorHAnsi" w:hAnsiTheme="minorHAnsi"/>
          <w:sz w:val="22"/>
          <w:szCs w:val="22"/>
          <w:u w:val="single"/>
        </w:rPr>
      </w:pPr>
    </w:p>
    <w:p w:rsidR="004C5CF5" w:rsidRDefault="00EF473E" w:rsidP="00992711">
      <w:pPr>
        <w:autoSpaceDE w:val="0"/>
        <w:autoSpaceDN w:val="0"/>
        <w:adjustRightInd w:val="0"/>
        <w:rPr>
          <w:rFonts w:asciiTheme="minorHAnsi" w:hAnsiTheme="minorHAnsi"/>
          <w:sz w:val="22"/>
          <w:szCs w:val="22"/>
        </w:rPr>
      </w:pPr>
      <w:r>
        <w:rPr>
          <w:rFonts w:asciiTheme="minorHAnsi" w:hAnsiTheme="minorHAnsi"/>
          <w:sz w:val="22"/>
          <w:szCs w:val="22"/>
          <w:u w:val="single"/>
        </w:rPr>
        <w:t>Transient Occupancy</w:t>
      </w:r>
      <w:r w:rsidR="00992711" w:rsidRPr="00321B01">
        <w:rPr>
          <w:rFonts w:asciiTheme="minorHAnsi" w:hAnsiTheme="minorHAnsi"/>
          <w:sz w:val="22"/>
          <w:szCs w:val="22"/>
          <w:u w:val="single"/>
        </w:rPr>
        <w:t xml:space="preserve"> Excise Tax Collect</w:t>
      </w:r>
      <w:r w:rsidR="005D1B38">
        <w:rPr>
          <w:rFonts w:asciiTheme="minorHAnsi" w:hAnsiTheme="minorHAnsi"/>
          <w:sz w:val="22"/>
          <w:szCs w:val="22"/>
          <w:u w:val="single"/>
        </w:rPr>
        <w:t>ions</w:t>
      </w:r>
      <w:r w:rsidR="00992711" w:rsidRPr="00321B01">
        <w:rPr>
          <w:rFonts w:asciiTheme="minorHAnsi" w:hAnsiTheme="minorHAnsi"/>
          <w:sz w:val="22"/>
          <w:szCs w:val="22"/>
        </w:rPr>
        <w:t xml:space="preserve">, </w:t>
      </w:r>
      <w:r w:rsidR="003E68BD">
        <w:rPr>
          <w:rFonts w:asciiTheme="minorHAnsi" w:hAnsiTheme="minorHAnsi"/>
          <w:sz w:val="22"/>
          <w:szCs w:val="22"/>
          <w:u w:val="single"/>
        </w:rPr>
        <w:t>Meals</w:t>
      </w:r>
      <w:r w:rsidR="00992711" w:rsidRPr="00321B01">
        <w:rPr>
          <w:rFonts w:asciiTheme="minorHAnsi" w:hAnsiTheme="minorHAnsi"/>
          <w:sz w:val="22"/>
          <w:szCs w:val="22"/>
          <w:u w:val="single"/>
        </w:rPr>
        <w:t xml:space="preserve"> Excise Tax Collect</w:t>
      </w:r>
      <w:r w:rsidR="005D1B38">
        <w:rPr>
          <w:rFonts w:asciiTheme="minorHAnsi" w:hAnsiTheme="minorHAnsi"/>
          <w:sz w:val="22"/>
          <w:szCs w:val="22"/>
          <w:u w:val="single"/>
        </w:rPr>
        <w:t>ions</w:t>
      </w:r>
      <w:r w:rsidR="00992711" w:rsidRPr="00321B01">
        <w:rPr>
          <w:rFonts w:asciiTheme="minorHAnsi" w:hAnsiTheme="minorHAnsi"/>
          <w:sz w:val="22"/>
          <w:szCs w:val="22"/>
          <w:u w:val="single"/>
        </w:rPr>
        <w:t>,</w:t>
      </w:r>
      <w:r w:rsidR="00992711" w:rsidRPr="00321B01">
        <w:rPr>
          <w:rFonts w:asciiTheme="minorHAnsi" w:hAnsiTheme="minorHAnsi"/>
          <w:sz w:val="22"/>
          <w:szCs w:val="22"/>
        </w:rPr>
        <w:t xml:space="preserve"> and </w:t>
      </w:r>
      <w:r w:rsidR="00992711" w:rsidRPr="00321B01">
        <w:rPr>
          <w:rFonts w:asciiTheme="minorHAnsi" w:hAnsiTheme="minorHAnsi"/>
          <w:sz w:val="22"/>
          <w:szCs w:val="22"/>
          <w:u w:val="single"/>
        </w:rPr>
        <w:t>Admissions Excise Tax Collect</w:t>
      </w:r>
      <w:r w:rsidR="005D1B38">
        <w:rPr>
          <w:rFonts w:asciiTheme="minorHAnsi" w:hAnsiTheme="minorHAnsi"/>
          <w:sz w:val="22"/>
          <w:szCs w:val="22"/>
          <w:u w:val="single"/>
        </w:rPr>
        <w:t>ions</w:t>
      </w:r>
      <w:r w:rsidR="00992711" w:rsidRPr="00321B01">
        <w:rPr>
          <w:rFonts w:asciiTheme="minorHAnsi" w:hAnsiTheme="minorHAnsi"/>
          <w:sz w:val="22"/>
          <w:szCs w:val="22"/>
        </w:rPr>
        <w:t xml:space="preserve"> represent the local </w:t>
      </w:r>
      <w:r w:rsidR="00992711" w:rsidRPr="00321B01">
        <w:rPr>
          <w:rFonts w:asciiTheme="minorHAnsi" w:hAnsiTheme="minorHAnsi"/>
          <w:i/>
          <w:sz w:val="22"/>
          <w:szCs w:val="22"/>
        </w:rPr>
        <w:t>excise</w:t>
      </w:r>
      <w:r w:rsidR="00992711" w:rsidRPr="00321B01">
        <w:rPr>
          <w:rFonts w:asciiTheme="minorHAnsi" w:hAnsiTheme="minorHAnsi"/>
          <w:sz w:val="22"/>
          <w:szCs w:val="22"/>
        </w:rPr>
        <w:t xml:space="preserve"> tax collections </w:t>
      </w:r>
      <w:r w:rsidR="004C5CF5">
        <w:rPr>
          <w:rFonts w:asciiTheme="minorHAnsi" w:hAnsiTheme="minorHAnsi"/>
          <w:sz w:val="22"/>
          <w:szCs w:val="22"/>
        </w:rPr>
        <w:t>reported to the Auditor of Public Accounts by Virginia’s counties, independent cities, and incorporated towns.</w:t>
      </w:r>
    </w:p>
    <w:p w:rsidR="00992711" w:rsidRPr="00321B01" w:rsidRDefault="004C5CF5" w:rsidP="00992711">
      <w:pPr>
        <w:autoSpaceDE w:val="0"/>
        <w:autoSpaceDN w:val="0"/>
        <w:adjustRightInd w:val="0"/>
        <w:rPr>
          <w:rFonts w:asciiTheme="minorHAnsi" w:hAnsiTheme="minorHAnsi" w:cs="Arial"/>
          <w:sz w:val="22"/>
          <w:szCs w:val="22"/>
        </w:rPr>
      </w:pPr>
      <w:r w:rsidRPr="00321B01">
        <w:rPr>
          <w:rFonts w:asciiTheme="minorHAnsi" w:hAnsiTheme="minorHAnsi" w:cs="Arial"/>
          <w:sz w:val="22"/>
          <w:szCs w:val="22"/>
        </w:rPr>
        <w:t xml:space="preserve"> </w:t>
      </w:r>
    </w:p>
    <w:p w:rsidR="00992711" w:rsidRPr="00321B01" w:rsidRDefault="004C5CF5" w:rsidP="004C5CF5">
      <w:pPr>
        <w:jc w:val="both"/>
        <w:rPr>
          <w:rFonts w:asciiTheme="minorHAnsi" w:hAnsiTheme="minorHAnsi"/>
          <w:sz w:val="22"/>
          <w:szCs w:val="22"/>
        </w:rPr>
      </w:pPr>
      <w:r w:rsidRPr="00321B01">
        <w:rPr>
          <w:rFonts w:asciiTheme="minorHAnsi" w:hAnsiTheme="minorHAnsi"/>
          <w:sz w:val="22"/>
          <w:szCs w:val="22"/>
        </w:rPr>
        <w:t>The source for this data is the Auditor of Public Accounts.</w:t>
      </w:r>
      <w:r>
        <w:rPr>
          <w:rFonts w:asciiTheme="minorHAnsi" w:hAnsiTheme="minorHAnsi"/>
          <w:sz w:val="22"/>
          <w:szCs w:val="22"/>
        </w:rPr>
        <w:t xml:space="preserve">  </w:t>
      </w:r>
      <w:r>
        <w:rPr>
          <w:rFonts w:asciiTheme="minorHAnsi" w:hAnsiTheme="minorHAnsi" w:cs="Arial"/>
          <w:sz w:val="22"/>
          <w:szCs w:val="22"/>
        </w:rPr>
        <w:t>Excise tax</w:t>
      </w:r>
      <w:r w:rsidRPr="00321B01">
        <w:rPr>
          <w:rFonts w:asciiTheme="minorHAnsi" w:hAnsiTheme="minorHAnsi" w:cs="Arial"/>
          <w:sz w:val="22"/>
          <w:szCs w:val="22"/>
        </w:rPr>
        <w:t xml:space="preserve"> collections are typically reported in July-to-June </w:t>
      </w:r>
      <w:r w:rsidRPr="00321B01">
        <w:rPr>
          <w:rFonts w:asciiTheme="minorHAnsi" w:hAnsiTheme="minorHAnsi" w:cs="Arial"/>
          <w:i/>
          <w:sz w:val="22"/>
          <w:szCs w:val="22"/>
        </w:rPr>
        <w:t>fiscal</w:t>
      </w:r>
      <w:r w:rsidRPr="00321B01">
        <w:rPr>
          <w:rFonts w:asciiTheme="minorHAnsi" w:hAnsiTheme="minorHAnsi" w:cs="Arial"/>
          <w:sz w:val="22"/>
          <w:szCs w:val="22"/>
        </w:rPr>
        <w:t xml:space="preserve"> years, not </w:t>
      </w:r>
      <w:r w:rsidRPr="00321B01">
        <w:rPr>
          <w:rFonts w:asciiTheme="minorHAnsi" w:hAnsiTheme="minorHAnsi" w:cs="Arial"/>
          <w:i/>
          <w:sz w:val="22"/>
          <w:szCs w:val="22"/>
        </w:rPr>
        <w:t>calendar</w:t>
      </w:r>
      <w:r w:rsidRPr="00321B01">
        <w:rPr>
          <w:rFonts w:asciiTheme="minorHAnsi" w:hAnsiTheme="minorHAnsi" w:cs="Arial"/>
          <w:sz w:val="22"/>
          <w:szCs w:val="22"/>
        </w:rPr>
        <w:t xml:space="preserve"> years.</w:t>
      </w:r>
      <w:r>
        <w:rPr>
          <w:rFonts w:asciiTheme="minorHAnsi" w:hAnsiTheme="minorHAnsi" w:cs="Arial"/>
          <w:sz w:val="22"/>
          <w:szCs w:val="22"/>
        </w:rPr>
        <w:t xml:space="preserve">  L</w:t>
      </w:r>
      <w:r w:rsidR="00992711" w:rsidRPr="00321B01">
        <w:rPr>
          <w:rFonts w:asciiTheme="minorHAnsi" w:hAnsiTheme="minorHAnsi" w:cs="Arial"/>
          <w:sz w:val="22"/>
          <w:szCs w:val="22"/>
        </w:rPr>
        <w:t xml:space="preserve">ocalities imposing a local </w:t>
      </w:r>
      <w:r w:rsidR="00EF473E">
        <w:rPr>
          <w:rFonts w:asciiTheme="minorHAnsi" w:hAnsiTheme="minorHAnsi" w:cs="Arial"/>
          <w:sz w:val="22"/>
          <w:szCs w:val="22"/>
        </w:rPr>
        <w:t>transient occupancy</w:t>
      </w:r>
      <w:r w:rsidR="00992711" w:rsidRPr="00321B01">
        <w:rPr>
          <w:rFonts w:asciiTheme="minorHAnsi" w:hAnsiTheme="minorHAnsi" w:cs="Arial"/>
          <w:sz w:val="22"/>
          <w:szCs w:val="22"/>
        </w:rPr>
        <w:t xml:space="preserve"> excise tax may impose the tax on any or all classes of lodging such as hotels, motels, bed and breakfasts, cabins, and campgrounds. </w:t>
      </w:r>
    </w:p>
    <w:p w:rsidR="00992711" w:rsidRPr="00321B01" w:rsidRDefault="00992711" w:rsidP="00992711">
      <w:pPr>
        <w:jc w:val="both"/>
        <w:rPr>
          <w:rFonts w:asciiTheme="minorHAnsi" w:hAnsiTheme="minorHAnsi"/>
          <w:sz w:val="22"/>
          <w:szCs w:val="22"/>
        </w:rPr>
      </w:pPr>
    </w:p>
    <w:p w:rsidR="00992711" w:rsidRPr="00321B01" w:rsidRDefault="00992711" w:rsidP="00992711">
      <w:pPr>
        <w:jc w:val="both"/>
        <w:rPr>
          <w:rFonts w:asciiTheme="minorHAnsi" w:hAnsiTheme="minorHAnsi"/>
          <w:b/>
          <w:sz w:val="22"/>
          <w:szCs w:val="22"/>
        </w:rPr>
      </w:pPr>
    </w:p>
    <w:p w:rsidR="00992711" w:rsidRDefault="00992711" w:rsidP="00992711">
      <w:pPr>
        <w:jc w:val="both"/>
        <w:rPr>
          <w:rFonts w:asciiTheme="minorHAnsi" w:hAnsiTheme="minorHAnsi"/>
          <w:b/>
          <w:sz w:val="22"/>
          <w:szCs w:val="22"/>
        </w:rPr>
      </w:pPr>
      <w:r w:rsidRPr="00321B01">
        <w:rPr>
          <w:rFonts w:asciiTheme="minorHAnsi" w:hAnsiTheme="minorHAnsi"/>
          <w:b/>
          <w:sz w:val="22"/>
          <w:szCs w:val="22"/>
        </w:rPr>
        <w:t>Local Excise Tax Rates</w:t>
      </w:r>
    </w:p>
    <w:p w:rsidR="00992711" w:rsidRPr="00321B01" w:rsidRDefault="00992711" w:rsidP="00992711">
      <w:pPr>
        <w:jc w:val="both"/>
        <w:rPr>
          <w:rFonts w:asciiTheme="minorHAnsi" w:hAnsiTheme="minorHAnsi"/>
          <w:sz w:val="22"/>
          <w:szCs w:val="22"/>
        </w:rPr>
      </w:pPr>
    </w:p>
    <w:p w:rsidR="00992711" w:rsidRPr="00321B01" w:rsidRDefault="00EF473E" w:rsidP="00992711">
      <w:pPr>
        <w:pStyle w:val="BodyText"/>
        <w:jc w:val="both"/>
        <w:rPr>
          <w:rFonts w:asciiTheme="minorHAnsi" w:hAnsiTheme="minorHAnsi"/>
          <w:sz w:val="22"/>
          <w:szCs w:val="22"/>
          <w:u w:val="none"/>
        </w:rPr>
      </w:pPr>
      <w:r>
        <w:rPr>
          <w:rFonts w:asciiTheme="minorHAnsi" w:hAnsiTheme="minorHAnsi"/>
          <w:sz w:val="22"/>
          <w:szCs w:val="22"/>
        </w:rPr>
        <w:t>Transient Occupancy</w:t>
      </w:r>
      <w:r w:rsidR="00992711" w:rsidRPr="00321B01">
        <w:rPr>
          <w:rFonts w:asciiTheme="minorHAnsi" w:hAnsiTheme="minorHAnsi"/>
          <w:sz w:val="22"/>
          <w:szCs w:val="22"/>
        </w:rPr>
        <w:t xml:space="preserve"> Excise Tax Rate</w:t>
      </w:r>
      <w:r w:rsidR="00220453">
        <w:rPr>
          <w:rFonts w:asciiTheme="minorHAnsi" w:hAnsiTheme="minorHAnsi"/>
          <w:sz w:val="22"/>
          <w:szCs w:val="22"/>
        </w:rPr>
        <w:t>s</w:t>
      </w:r>
      <w:r w:rsidR="00992711" w:rsidRPr="00321B01">
        <w:rPr>
          <w:rFonts w:asciiTheme="minorHAnsi" w:hAnsiTheme="minorHAnsi"/>
          <w:sz w:val="22"/>
          <w:szCs w:val="22"/>
          <w:u w:val="none"/>
        </w:rPr>
        <w:t xml:space="preserve">, </w:t>
      </w:r>
      <w:r w:rsidR="003E68BD">
        <w:rPr>
          <w:rFonts w:asciiTheme="minorHAnsi" w:hAnsiTheme="minorHAnsi"/>
          <w:sz w:val="22"/>
          <w:szCs w:val="22"/>
        </w:rPr>
        <w:t>Meals</w:t>
      </w:r>
      <w:r w:rsidR="00992711" w:rsidRPr="00321B01">
        <w:rPr>
          <w:rFonts w:asciiTheme="minorHAnsi" w:hAnsiTheme="minorHAnsi"/>
          <w:sz w:val="22"/>
          <w:szCs w:val="22"/>
        </w:rPr>
        <w:t xml:space="preserve"> Excise Tax Rate</w:t>
      </w:r>
      <w:r w:rsidR="00220453">
        <w:rPr>
          <w:rFonts w:asciiTheme="minorHAnsi" w:hAnsiTheme="minorHAnsi"/>
          <w:sz w:val="22"/>
          <w:szCs w:val="22"/>
        </w:rPr>
        <w:t>s</w:t>
      </w:r>
      <w:r w:rsidR="00992711" w:rsidRPr="00321B01">
        <w:rPr>
          <w:rFonts w:asciiTheme="minorHAnsi" w:hAnsiTheme="minorHAnsi"/>
          <w:sz w:val="22"/>
          <w:szCs w:val="22"/>
          <w:u w:val="none"/>
        </w:rPr>
        <w:t xml:space="preserve">, and </w:t>
      </w:r>
      <w:r w:rsidR="00992711" w:rsidRPr="00321B01">
        <w:rPr>
          <w:rFonts w:asciiTheme="minorHAnsi" w:hAnsiTheme="minorHAnsi"/>
          <w:sz w:val="22"/>
          <w:szCs w:val="22"/>
        </w:rPr>
        <w:t>Admissions Tax Rate</w:t>
      </w:r>
      <w:r w:rsidR="00220453">
        <w:rPr>
          <w:rFonts w:asciiTheme="minorHAnsi" w:hAnsiTheme="minorHAnsi"/>
          <w:sz w:val="22"/>
          <w:szCs w:val="22"/>
        </w:rPr>
        <w:t>s</w:t>
      </w:r>
      <w:r w:rsidR="00992711" w:rsidRPr="00321B01">
        <w:rPr>
          <w:rFonts w:asciiTheme="minorHAnsi" w:hAnsiTheme="minorHAnsi"/>
          <w:sz w:val="22"/>
          <w:szCs w:val="22"/>
          <w:u w:val="none"/>
        </w:rPr>
        <w:t xml:space="preserve"> show the local </w:t>
      </w:r>
      <w:r w:rsidR="00992711" w:rsidRPr="00220453">
        <w:rPr>
          <w:rFonts w:asciiTheme="minorHAnsi" w:hAnsiTheme="minorHAnsi"/>
          <w:i/>
          <w:sz w:val="22"/>
          <w:szCs w:val="22"/>
          <w:u w:val="none"/>
        </w:rPr>
        <w:t>excise</w:t>
      </w:r>
      <w:r w:rsidR="00992711" w:rsidRPr="00321B01">
        <w:rPr>
          <w:rFonts w:asciiTheme="minorHAnsi" w:hAnsiTheme="minorHAnsi"/>
          <w:sz w:val="22"/>
          <w:szCs w:val="22"/>
          <w:u w:val="none"/>
        </w:rPr>
        <w:t xml:space="preserve"> tax rates for </w:t>
      </w:r>
      <w:r w:rsidR="004C5CF5">
        <w:rPr>
          <w:rFonts w:asciiTheme="minorHAnsi" w:hAnsiTheme="minorHAnsi"/>
          <w:sz w:val="22"/>
          <w:szCs w:val="22"/>
          <w:u w:val="none"/>
        </w:rPr>
        <w:t>the most re</w:t>
      </w:r>
      <w:r w:rsidR="00992711" w:rsidRPr="00321B01">
        <w:rPr>
          <w:rFonts w:asciiTheme="minorHAnsi" w:hAnsiTheme="minorHAnsi"/>
          <w:sz w:val="22"/>
          <w:szCs w:val="22"/>
          <w:u w:val="none"/>
        </w:rPr>
        <w:t>cent fiscal year</w:t>
      </w:r>
      <w:r w:rsidR="004C5CF5">
        <w:rPr>
          <w:rFonts w:asciiTheme="minorHAnsi" w:hAnsiTheme="minorHAnsi"/>
          <w:sz w:val="22"/>
          <w:szCs w:val="22"/>
          <w:u w:val="none"/>
        </w:rPr>
        <w:t xml:space="preserve">: </w:t>
      </w:r>
      <w:r w:rsidR="00992711" w:rsidRPr="00321B01">
        <w:rPr>
          <w:rFonts w:asciiTheme="minorHAnsi" w:hAnsiTheme="minorHAnsi"/>
          <w:sz w:val="22"/>
          <w:szCs w:val="22"/>
          <w:u w:val="none"/>
        </w:rPr>
        <w:t xml:space="preserve">July-to-June </w:t>
      </w:r>
      <w:r w:rsidR="00992711" w:rsidRPr="00220453">
        <w:rPr>
          <w:rFonts w:asciiTheme="minorHAnsi" w:hAnsiTheme="minorHAnsi"/>
          <w:i/>
          <w:sz w:val="22"/>
          <w:szCs w:val="22"/>
          <w:u w:val="none"/>
        </w:rPr>
        <w:t>fiscal</w:t>
      </w:r>
      <w:r w:rsidR="00992711" w:rsidRPr="00321B01">
        <w:rPr>
          <w:rFonts w:asciiTheme="minorHAnsi" w:hAnsiTheme="minorHAnsi"/>
          <w:sz w:val="22"/>
          <w:szCs w:val="22"/>
          <w:u w:val="none"/>
        </w:rPr>
        <w:t xml:space="preserve"> years, not </w:t>
      </w:r>
      <w:r w:rsidR="004C5CF5" w:rsidRPr="00220453">
        <w:rPr>
          <w:rFonts w:asciiTheme="minorHAnsi" w:hAnsiTheme="minorHAnsi"/>
          <w:i/>
          <w:sz w:val="22"/>
          <w:szCs w:val="22"/>
          <w:u w:val="none"/>
        </w:rPr>
        <w:t>calendar</w:t>
      </w:r>
      <w:r w:rsidR="004C5CF5">
        <w:rPr>
          <w:rFonts w:asciiTheme="minorHAnsi" w:hAnsiTheme="minorHAnsi"/>
          <w:sz w:val="22"/>
          <w:szCs w:val="22"/>
          <w:u w:val="none"/>
        </w:rPr>
        <w:t xml:space="preserve"> years.  </w:t>
      </w:r>
      <w:r w:rsidR="00992711" w:rsidRPr="00321B01">
        <w:rPr>
          <w:rFonts w:asciiTheme="minorHAnsi" w:hAnsiTheme="minorHAnsi"/>
          <w:sz w:val="22"/>
          <w:szCs w:val="22"/>
          <w:u w:val="none"/>
        </w:rPr>
        <w:t xml:space="preserve">The </w:t>
      </w:r>
      <w:r w:rsidR="001A1DC8">
        <w:rPr>
          <w:rFonts w:asciiTheme="minorHAnsi" w:hAnsiTheme="minorHAnsi"/>
          <w:sz w:val="22"/>
          <w:szCs w:val="22"/>
          <w:u w:val="none"/>
        </w:rPr>
        <w:t xml:space="preserve">excise </w:t>
      </w:r>
      <w:r w:rsidR="00992711" w:rsidRPr="00321B01">
        <w:rPr>
          <w:rFonts w:asciiTheme="minorHAnsi" w:hAnsiTheme="minorHAnsi"/>
          <w:sz w:val="22"/>
          <w:szCs w:val="22"/>
          <w:u w:val="none"/>
        </w:rPr>
        <w:t xml:space="preserve">tax rates </w:t>
      </w:r>
      <w:r w:rsidR="001A1DC8">
        <w:rPr>
          <w:rFonts w:asciiTheme="minorHAnsi" w:hAnsiTheme="minorHAnsi"/>
          <w:sz w:val="22"/>
          <w:szCs w:val="22"/>
          <w:u w:val="none"/>
        </w:rPr>
        <w:t>reported</w:t>
      </w:r>
      <w:r w:rsidR="00992711" w:rsidRPr="00321B01">
        <w:rPr>
          <w:rFonts w:asciiTheme="minorHAnsi" w:hAnsiTheme="minorHAnsi"/>
          <w:sz w:val="22"/>
          <w:szCs w:val="22"/>
          <w:u w:val="none"/>
        </w:rPr>
        <w:t xml:space="preserve"> are for</w:t>
      </w:r>
      <w:r w:rsidR="004C5CF5" w:rsidRPr="004C5CF5">
        <w:rPr>
          <w:rFonts w:asciiTheme="minorHAnsi" w:hAnsiTheme="minorHAnsi"/>
          <w:sz w:val="22"/>
          <w:szCs w:val="22"/>
          <w:u w:val="none"/>
        </w:rPr>
        <w:t xml:space="preserve"> </w:t>
      </w:r>
      <w:r w:rsidR="004C5CF5">
        <w:rPr>
          <w:rFonts w:asciiTheme="minorHAnsi" w:hAnsiTheme="minorHAnsi"/>
          <w:sz w:val="22"/>
          <w:szCs w:val="22"/>
          <w:u w:val="none"/>
        </w:rPr>
        <w:t>Virginia’s counties, independent cities, and incorporated towns</w:t>
      </w:r>
      <w:r w:rsidR="001A1DC8">
        <w:rPr>
          <w:rFonts w:asciiTheme="minorHAnsi" w:hAnsiTheme="minorHAnsi"/>
          <w:sz w:val="22"/>
          <w:szCs w:val="22"/>
          <w:u w:val="none"/>
        </w:rPr>
        <w:t>.</w:t>
      </w:r>
      <w:r w:rsidR="00992711" w:rsidRPr="00321B01">
        <w:rPr>
          <w:rFonts w:asciiTheme="minorHAnsi" w:hAnsiTheme="minorHAnsi"/>
          <w:sz w:val="22"/>
          <w:szCs w:val="22"/>
          <w:u w:val="none"/>
        </w:rPr>
        <w:t xml:space="preserve"> </w:t>
      </w:r>
    </w:p>
    <w:p w:rsidR="00992711" w:rsidRPr="00321B01" w:rsidRDefault="00992711" w:rsidP="00992711">
      <w:pPr>
        <w:pStyle w:val="BodyText"/>
        <w:jc w:val="both"/>
        <w:rPr>
          <w:rFonts w:asciiTheme="minorHAnsi" w:hAnsiTheme="minorHAnsi"/>
          <w:sz w:val="22"/>
          <w:szCs w:val="22"/>
          <w:u w:val="none"/>
        </w:rPr>
      </w:pPr>
    </w:p>
    <w:p w:rsidR="00992711" w:rsidRPr="00321B01" w:rsidRDefault="00992711" w:rsidP="00992711">
      <w:pPr>
        <w:pStyle w:val="BodyText"/>
        <w:jc w:val="both"/>
        <w:rPr>
          <w:rFonts w:asciiTheme="minorHAnsi" w:hAnsiTheme="minorHAnsi"/>
          <w:sz w:val="22"/>
          <w:szCs w:val="22"/>
          <w:u w:val="none"/>
        </w:rPr>
      </w:pPr>
      <w:r w:rsidRPr="00321B01">
        <w:rPr>
          <w:rFonts w:asciiTheme="minorHAnsi" w:hAnsiTheme="minorHAnsi"/>
          <w:sz w:val="22"/>
          <w:szCs w:val="22"/>
          <w:u w:val="none"/>
        </w:rPr>
        <w:t>The source for this data is an annual survey administered by the Weldon Cooper Center for Public Service at the University of Virginia.  The survey is administered between spring and early fall of each year</w:t>
      </w:r>
      <w:r w:rsidR="004B59BD">
        <w:rPr>
          <w:rFonts w:asciiTheme="minorHAnsi" w:hAnsiTheme="minorHAnsi"/>
          <w:sz w:val="22"/>
          <w:szCs w:val="22"/>
          <w:u w:val="none"/>
        </w:rPr>
        <w:t>.</w:t>
      </w:r>
    </w:p>
    <w:p w:rsidR="00992711" w:rsidRPr="00D4687A" w:rsidRDefault="00992711" w:rsidP="00992711">
      <w:pPr>
        <w:pStyle w:val="BodyText"/>
        <w:rPr>
          <w:sz w:val="22"/>
          <w:szCs w:val="22"/>
          <w:u w:val="none"/>
        </w:rPr>
      </w:pPr>
    </w:p>
    <w:p w:rsidR="00992711" w:rsidRPr="002F4E0F" w:rsidRDefault="00992711" w:rsidP="00992711">
      <w:pPr>
        <w:pStyle w:val="BodyText"/>
        <w:jc w:val="both"/>
        <w:rPr>
          <w:sz w:val="22"/>
          <w:szCs w:val="22"/>
          <w:u w:val="none"/>
        </w:rPr>
      </w:pPr>
    </w:p>
    <w:p w:rsidR="00992711" w:rsidRPr="002F4E0F" w:rsidRDefault="00992711" w:rsidP="00992711">
      <w:pPr>
        <w:pStyle w:val="BodyText"/>
        <w:jc w:val="both"/>
        <w:rPr>
          <w:color w:val="0000FF"/>
          <w:sz w:val="22"/>
          <w:szCs w:val="22"/>
        </w:rPr>
      </w:pPr>
      <w:bookmarkStart w:id="0" w:name="_GoBack"/>
      <w:bookmarkEnd w:id="0"/>
    </w:p>
    <w:p w:rsidR="00992711" w:rsidRPr="002F4E0F" w:rsidRDefault="00992711" w:rsidP="00992711">
      <w:pPr>
        <w:pStyle w:val="BodyText"/>
        <w:jc w:val="both"/>
        <w:rPr>
          <w:sz w:val="22"/>
          <w:szCs w:val="22"/>
          <w:u w:val="none"/>
        </w:rPr>
      </w:pPr>
    </w:p>
    <w:p w:rsidR="00992711" w:rsidRDefault="00992711"/>
    <w:sectPr w:rsidR="0099271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711" w:rsidRDefault="00992711" w:rsidP="00992711">
      <w:r>
        <w:separator/>
      </w:r>
    </w:p>
  </w:endnote>
  <w:endnote w:type="continuationSeparator" w:id="0">
    <w:p w:rsidR="00992711" w:rsidRDefault="00992711" w:rsidP="00992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9BD" w:rsidRDefault="004B59BD" w:rsidP="004B59BD">
    <w:pPr>
      <w:pStyle w:val="Footer"/>
      <w:jc w:val="right"/>
    </w:pPr>
    <w:r>
      <w:rPr>
        <w:noProof/>
      </w:rPr>
      <w:drawing>
        <wp:inline distT="0" distB="0" distL="0" distR="0">
          <wp:extent cx="1372597"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1VIFL-MD-4C-HOR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8109" cy="24816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711" w:rsidRDefault="00992711" w:rsidP="00992711">
      <w:r>
        <w:separator/>
      </w:r>
    </w:p>
  </w:footnote>
  <w:footnote w:type="continuationSeparator" w:id="0">
    <w:p w:rsidR="00992711" w:rsidRDefault="00992711" w:rsidP="00992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711" w:rsidRDefault="004B59BD" w:rsidP="00992711">
    <w:pPr>
      <w:pStyle w:val="Title"/>
      <w:rPr>
        <w:color w:val="000000"/>
      </w:rPr>
    </w:pPr>
    <w:r>
      <w:rPr>
        <w:color w:val="000000"/>
      </w:rPr>
      <w:t>Admissions, Meals and Transient Occupancy</w:t>
    </w:r>
    <w:r w:rsidR="005D3FDE">
      <w:rPr>
        <w:color w:val="000000"/>
      </w:rPr>
      <w:t xml:space="preserve"> Excise Taxes</w:t>
    </w:r>
  </w:p>
  <w:p w:rsidR="00992711" w:rsidRDefault="00992711" w:rsidP="0099271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711"/>
    <w:rsid w:val="0015483C"/>
    <w:rsid w:val="001A1DC8"/>
    <w:rsid w:val="001E160F"/>
    <w:rsid w:val="00220453"/>
    <w:rsid w:val="003A3B33"/>
    <w:rsid w:val="003E68BD"/>
    <w:rsid w:val="00462D56"/>
    <w:rsid w:val="004A671D"/>
    <w:rsid w:val="004B59BD"/>
    <w:rsid w:val="004C5CF5"/>
    <w:rsid w:val="005B5AB0"/>
    <w:rsid w:val="005D1B38"/>
    <w:rsid w:val="005D3FDE"/>
    <w:rsid w:val="00992711"/>
    <w:rsid w:val="00AC48C1"/>
    <w:rsid w:val="00B82618"/>
    <w:rsid w:val="00CB745E"/>
    <w:rsid w:val="00E8390B"/>
    <w:rsid w:val="00EF4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B42BAD"/>
  <w15:chartTrackingRefBased/>
  <w15:docId w15:val="{E68FC37C-4F60-4A4B-AB0F-A484D71B8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711"/>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92711"/>
    <w:rPr>
      <w:u w:val="single"/>
    </w:rPr>
  </w:style>
  <w:style w:type="character" w:customStyle="1" w:styleId="BodyTextChar">
    <w:name w:val="Body Text Char"/>
    <w:basedOn w:val="DefaultParagraphFont"/>
    <w:link w:val="BodyText"/>
    <w:rsid w:val="00992711"/>
    <w:rPr>
      <w:rFonts w:ascii="Arial" w:eastAsia="Times New Roman" w:hAnsi="Arial" w:cs="Times New Roman"/>
      <w:sz w:val="20"/>
      <w:szCs w:val="20"/>
      <w:u w:val="single"/>
    </w:rPr>
  </w:style>
  <w:style w:type="paragraph" w:styleId="Header">
    <w:name w:val="header"/>
    <w:basedOn w:val="Normal"/>
    <w:link w:val="HeaderChar"/>
    <w:uiPriority w:val="99"/>
    <w:unhideWhenUsed/>
    <w:rsid w:val="00992711"/>
    <w:pPr>
      <w:tabs>
        <w:tab w:val="center" w:pos="4680"/>
        <w:tab w:val="right" w:pos="9360"/>
      </w:tabs>
    </w:pPr>
  </w:style>
  <w:style w:type="character" w:customStyle="1" w:styleId="HeaderChar">
    <w:name w:val="Header Char"/>
    <w:basedOn w:val="DefaultParagraphFont"/>
    <w:link w:val="Header"/>
    <w:uiPriority w:val="99"/>
    <w:rsid w:val="00992711"/>
    <w:rPr>
      <w:rFonts w:ascii="Arial" w:eastAsia="Times New Roman" w:hAnsi="Arial" w:cs="Times New Roman"/>
      <w:sz w:val="20"/>
      <w:szCs w:val="20"/>
    </w:rPr>
  </w:style>
  <w:style w:type="paragraph" w:styleId="Footer">
    <w:name w:val="footer"/>
    <w:basedOn w:val="Normal"/>
    <w:link w:val="FooterChar"/>
    <w:uiPriority w:val="99"/>
    <w:unhideWhenUsed/>
    <w:rsid w:val="00992711"/>
    <w:pPr>
      <w:tabs>
        <w:tab w:val="center" w:pos="4680"/>
        <w:tab w:val="right" w:pos="9360"/>
      </w:tabs>
    </w:pPr>
  </w:style>
  <w:style w:type="character" w:customStyle="1" w:styleId="FooterChar">
    <w:name w:val="Footer Char"/>
    <w:basedOn w:val="DefaultParagraphFont"/>
    <w:link w:val="Footer"/>
    <w:uiPriority w:val="99"/>
    <w:rsid w:val="00992711"/>
    <w:rPr>
      <w:rFonts w:ascii="Arial" w:eastAsia="Times New Roman" w:hAnsi="Arial" w:cs="Times New Roman"/>
      <w:sz w:val="20"/>
      <w:szCs w:val="20"/>
    </w:rPr>
  </w:style>
  <w:style w:type="paragraph" w:styleId="Title">
    <w:name w:val="Title"/>
    <w:basedOn w:val="Normal"/>
    <w:link w:val="TitleChar"/>
    <w:qFormat/>
    <w:rsid w:val="00992711"/>
    <w:pPr>
      <w:jc w:val="center"/>
    </w:pPr>
    <w:rPr>
      <w:b/>
      <w:sz w:val="28"/>
    </w:rPr>
  </w:style>
  <w:style w:type="character" w:customStyle="1" w:styleId="TitleChar">
    <w:name w:val="Title Char"/>
    <w:basedOn w:val="DefaultParagraphFont"/>
    <w:link w:val="Title"/>
    <w:rsid w:val="00992711"/>
    <w:rPr>
      <w:rFonts w:ascii="Arial" w:eastAsia="Times New Roman" w:hAnsi="Arial" w:cs="Times New Roman"/>
      <w:b/>
      <w:sz w:val="28"/>
      <w:szCs w:val="20"/>
    </w:rPr>
  </w:style>
  <w:style w:type="character" w:styleId="Hyperlink">
    <w:name w:val="Hyperlink"/>
    <w:basedOn w:val="DefaultParagraphFont"/>
    <w:uiPriority w:val="99"/>
    <w:unhideWhenUsed/>
    <w:rsid w:val="005B5AB0"/>
    <w:rPr>
      <w:color w:val="0563C1" w:themeColor="hyperlink"/>
      <w:u w:val="single"/>
    </w:rPr>
  </w:style>
  <w:style w:type="paragraph" w:styleId="BalloonText">
    <w:name w:val="Balloon Text"/>
    <w:basedOn w:val="Normal"/>
    <w:link w:val="BalloonTextChar"/>
    <w:uiPriority w:val="99"/>
    <w:semiHidden/>
    <w:unhideWhenUsed/>
    <w:rsid w:val="00AC48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8C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Jeffries, Chelsea</dc:creator>
  <cp:keywords/>
  <dc:description/>
  <cp:lastModifiedBy>Bhattarai, Pratiksha</cp:lastModifiedBy>
  <cp:revision>16</cp:revision>
  <cp:lastPrinted>2019-04-29T17:53:00Z</cp:lastPrinted>
  <dcterms:created xsi:type="dcterms:W3CDTF">2019-04-26T16:40:00Z</dcterms:created>
  <dcterms:modified xsi:type="dcterms:W3CDTF">2019-04-29T17:56:00Z</dcterms:modified>
</cp:coreProperties>
</file>